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79C3" w14:textId="553E283E" w:rsidR="00986522" w:rsidRPr="00A5344E" w:rsidRDefault="00986522" w:rsidP="00754E65">
      <w:pPr>
        <w:spacing w:after="1700" w:line="276" w:lineRule="auto"/>
        <w:rPr>
          <w:rFonts w:asciiTheme="majorHAnsi" w:hAnsiTheme="majorHAnsi" w:cstheme="majorHAnsi"/>
        </w:rPr>
      </w:pPr>
    </w:p>
    <w:p w14:paraId="7F200AD3" w14:textId="3EF16FF2" w:rsidR="00596EEB" w:rsidRPr="00A5344E" w:rsidRDefault="00984F56" w:rsidP="00754E65">
      <w:pPr>
        <w:pStyle w:val="Text85pt"/>
        <w:rPr>
          <w:rFonts w:asciiTheme="majorHAnsi" w:hAnsiTheme="majorHAnsi" w:cstheme="majorHAnsi"/>
        </w:rPr>
      </w:pPr>
      <w:r>
        <w:rPr>
          <w:rFonts w:asciiTheme="majorHAnsi" w:hAnsiTheme="majorHAnsi"/>
        </w:rPr>
        <w:t>Administration des finances</w:t>
      </w:r>
    </w:p>
    <w:p w14:paraId="36B120C5" w14:textId="77777777" w:rsidR="004E4BBE" w:rsidRPr="00A5344E" w:rsidRDefault="004E4BBE" w:rsidP="00754E65">
      <w:pPr>
        <w:pStyle w:val="Untertitel"/>
        <w:rPr>
          <w:rFonts w:asciiTheme="majorHAnsi" w:eastAsiaTheme="majorEastAsia" w:hAnsiTheme="majorHAnsi" w:cstheme="majorHAnsi"/>
          <w:color w:val="auto"/>
          <w:spacing w:val="0"/>
          <w:kern w:val="28"/>
        </w:rPr>
      </w:pPr>
      <w:r>
        <w:rPr>
          <w:rFonts w:asciiTheme="majorHAnsi" w:hAnsiTheme="majorHAnsi"/>
          <w:color w:val="auto"/>
        </w:rPr>
        <w:t>Analyse permanente de l’impact de la loi sur la péréquation financière et la compensation des charges (LPFC)</w:t>
      </w:r>
    </w:p>
    <w:p w14:paraId="5EBC7A83" w14:textId="2C794F4B" w:rsidR="004B5A6F" w:rsidRPr="00A5344E" w:rsidRDefault="004E4BBE" w:rsidP="004B5A6F">
      <w:pPr>
        <w:pStyle w:val="Text85pt"/>
        <w:rPr>
          <w:rFonts w:asciiTheme="majorHAnsi" w:hAnsiTheme="majorHAnsi" w:cstheme="majorHAnsi"/>
        </w:rPr>
      </w:pPr>
      <w:r>
        <w:rPr>
          <w:rFonts w:asciiTheme="majorHAnsi" w:hAnsiTheme="majorHAnsi"/>
          <w:color w:val="B1B9BD" w:themeColor="background2"/>
          <w:sz w:val="44"/>
        </w:rPr>
        <w:t>Rapport 2024</w:t>
      </w:r>
    </w:p>
    <w:p w14:paraId="7FB4EB3F" w14:textId="77777777" w:rsidR="004B5A6F" w:rsidRPr="00A5344E" w:rsidRDefault="004B5A6F" w:rsidP="004B5A6F">
      <w:pPr>
        <w:pStyle w:val="Text85pt"/>
        <w:rPr>
          <w:rFonts w:asciiTheme="majorHAnsi" w:hAnsiTheme="majorHAnsi" w:cstheme="majorHAnsi"/>
        </w:rPr>
      </w:pPr>
    </w:p>
    <w:p w14:paraId="5AB1D329" w14:textId="77777777" w:rsidR="004B5A6F" w:rsidRPr="00A5344E" w:rsidRDefault="004B5A6F" w:rsidP="004B5A6F">
      <w:pPr>
        <w:pStyle w:val="Text85pt"/>
        <w:rPr>
          <w:rFonts w:asciiTheme="majorHAnsi" w:hAnsiTheme="majorHAnsi" w:cstheme="majorHAnsi"/>
        </w:rPr>
      </w:pPr>
    </w:p>
    <w:p w14:paraId="72FEAEB9" w14:textId="77777777" w:rsidR="004B5A6F" w:rsidRPr="00A5344E" w:rsidRDefault="004B5A6F" w:rsidP="004B5A6F">
      <w:pPr>
        <w:pStyle w:val="Text85pt"/>
        <w:rPr>
          <w:rFonts w:asciiTheme="majorHAnsi" w:hAnsiTheme="majorHAnsi" w:cstheme="majorHAnsi"/>
        </w:rPr>
      </w:pPr>
    </w:p>
    <w:bookmarkStart w:id="0" w:name="Klassifizierung"/>
    <w:p w14:paraId="2F81DF73" w14:textId="4C4A4FB2" w:rsidR="004B5A6F" w:rsidRPr="00A5344E" w:rsidRDefault="009D02A2" w:rsidP="004B5A6F">
      <w:pPr>
        <w:spacing w:line="215" w:lineRule="atLeast"/>
        <w:ind w:left="1708" w:hanging="1708"/>
        <w:rPr>
          <w:rFonts w:asciiTheme="majorHAnsi" w:eastAsia="Arial" w:hAnsiTheme="majorHAnsi" w:cstheme="majorHAnsi"/>
          <w:sz w:val="17"/>
        </w:rPr>
      </w:pPr>
      <w:sdt>
        <w:sdtPr>
          <w:rPr>
            <w:rFonts w:asciiTheme="majorHAnsi" w:eastAsia="Arial" w:hAnsiTheme="majorHAnsi" w:cstheme="majorHAnsi"/>
            <w:sz w:val="17"/>
          </w:rPr>
          <w:id w:val="1673300542"/>
          <w:placeholder>
            <w:docPart w:val="74F4B8161A7E41DB9B7169160F38AF72"/>
          </w:placeholder>
          <w:comboBox>
            <w:listItem w:displayText="Non classifié" w:value="Nicht klassifiziert"/>
            <w:listItem w:displayText="INTERN" w:value="INTERN"/>
            <w:listItem w:displayText="CONFIDENTIEL" w:value="VERTRAULICH"/>
            <w:listItem w:displayText="SECRET" w:value="GEHEIM"/>
          </w:comboBox>
        </w:sdtPr>
        <w:sdtEndPr/>
        <w:sdtContent>
          <w:r w:rsidR="00C37237">
            <w:rPr>
              <w:rFonts w:asciiTheme="majorHAnsi" w:hAnsiTheme="majorHAnsi"/>
              <w:sz w:val="17"/>
            </w:rPr>
            <w:t>INTERNE</w:t>
          </w:r>
        </w:sdtContent>
      </w:sdt>
      <w:bookmarkEnd w:id="0"/>
    </w:p>
    <w:p w14:paraId="24661C84" w14:textId="77777777" w:rsidR="00DC6BE7" w:rsidRPr="00A5344E" w:rsidRDefault="00DC6BE7" w:rsidP="004B5A6F">
      <w:pPr>
        <w:spacing w:line="215" w:lineRule="atLeast"/>
        <w:ind w:left="1708" w:hanging="1708"/>
        <w:rPr>
          <w:rFonts w:asciiTheme="majorHAnsi" w:eastAsia="Arial" w:hAnsiTheme="majorHAnsi" w:cstheme="majorHAnsi"/>
          <w:sz w:val="17"/>
        </w:rPr>
      </w:pPr>
    </w:p>
    <w:p w14:paraId="7C60B058" w14:textId="70905C32" w:rsidR="006E713C" w:rsidRPr="00A5344E" w:rsidRDefault="0038719B" w:rsidP="00DC6BE7">
      <w:pPr>
        <w:pStyle w:val="Text85pt"/>
        <w:rPr>
          <w:rFonts w:asciiTheme="majorHAnsi" w:hAnsiTheme="majorHAnsi" w:cstheme="majorHAnsi"/>
        </w:rPr>
      </w:pPr>
      <w:r>
        <w:rPr>
          <w:rFonts w:asciiTheme="majorHAnsi" w:hAnsiTheme="majorHAnsi"/>
          <w:noProof/>
        </w:rPr>
        <mc:AlternateContent>
          <mc:Choice Requires="wps">
            <w:drawing>
              <wp:anchor distT="0" distB="0" distL="114300" distR="114300" simplePos="0" relativeHeight="251659264" behindDoc="0" locked="1" layoutInCell="1" allowOverlap="1" wp14:anchorId="10055B4E" wp14:editId="6D2DD2D6">
                <wp:simplePos x="0" y="0"/>
                <wp:positionH relativeFrom="column">
                  <wp:posOffset>0</wp:posOffset>
                </wp:positionH>
                <wp:positionV relativeFrom="page">
                  <wp:posOffset>5073015</wp:posOffset>
                </wp:positionV>
                <wp:extent cx="6152400" cy="252000"/>
                <wp:effectExtent l="0" t="0" r="1270" b="15240"/>
                <wp:wrapNone/>
                <wp:docPr id="13" name="Textfeld 13"/>
                <wp:cNvGraphicFramePr/>
                <a:graphic xmlns:a="http://schemas.openxmlformats.org/drawingml/2006/main">
                  <a:graphicData uri="http://schemas.microsoft.com/office/word/2010/wordprocessingShape">
                    <wps:wsp>
                      <wps:cNvSpPr txBox="1"/>
                      <wps:spPr>
                        <a:xfrm>
                          <a:off x="0" y="0"/>
                          <a:ext cx="61524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48681" w14:textId="0855E678" w:rsidR="00797FDE" w:rsidRDefault="0038719B" w:rsidP="004A41E9">
                            <w:pPr>
                              <w:pStyle w:val="Text85pt"/>
                              <w:tabs>
                                <w:tab w:val="left" w:pos="5100"/>
                              </w:tabs>
                            </w:pPr>
                            <w:r>
                              <w:t>Édité par l’AF</w:t>
                            </w:r>
                            <w:r>
                              <w:tab/>
                            </w:r>
                            <w:sdt>
                              <w:sdtPr>
                                <w:id w:val="173085829"/>
                                <w:placeholder>
                                  <w:docPart w:val="53777B18E75E4B0AAB2D678C1FCD9249"/>
                                </w:placeholder>
                                <w:date w:fullDate="2025-02-01T00:00:00Z">
                                  <w:dateFormat w:val="MM/yyyy"/>
                                  <w:lid w:val="fr-CH"/>
                                  <w:storeMappedDataAs w:val="dateTime"/>
                                  <w:calendar w:val="gregorian"/>
                                </w:date>
                              </w:sdtPr>
                              <w:sdtEndPr/>
                              <w:sdtContent>
                                <w:r w:rsidR="006E565B">
                                  <w:t>02/2025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0055B4E" id="_x0000_t202" coordsize="21600,21600" o:spt="202" path="m,l,21600r21600,l21600,xe">
                <v:stroke joinstyle="miter"/>
                <v:path gradientshapeok="t" o:connecttype="rect"/>
              </v:shapetype>
              <v:shape id="Textfeld 13" o:spid="_x0000_s1026" type="#_x0000_t202" style="position:absolute;margin-left:0;margin-top:399.45pt;width:484.4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" filled="f" stroked="f" strokeweight=".5pt">
                <v:textbox inset="0,0,0,0">
                  <w:txbxContent>
                    <w:p w14:paraId="66248681" w14:textId="0855E678" w:rsidR="00797FDE" w:rsidRDefault="0038719B" w:rsidP="004A41E9">
                      <w:pPr>
                        <w:pStyle w:val="Text85pt"/>
                        <w:tabs>
                          <w:tab w:val="left" w:pos="5100"/>
                        </w:tabs>
                      </w:pPr>
                      <w:r>
                        <w:t>Édité par l’AF</w:t>
                      </w:r>
                      <w:r>
                        <w:tab/>
                      </w:r>
                      <w:sdt>
                        <w:sdtPr>
                          <w:id w:val="173085829"/>
                          <w:placeholder>
                            <w:docPart w:val="53777B18E75E4B0AAB2D678C1FCD9249"/>
                          </w:placeholder>
                          <w:date w:fullDate="2025-02-01T00:00:00Z">
                            <w:dateFormat w:val="MM/yyyy"/>
                            <w:lid w:val="fr-CH"/>
                            <w:storeMappedDataAs w:val="dateTime"/>
                            <w:calendar w:val="gregorian"/>
                          </w:date>
                        </w:sdtPr>
                        <w:sdtEndPr/>
                        <w:sdtContent>
                          <w:r w:rsidR="006E565B">
                            <w:t>02/2025</w:t>
                          </w:r>
                        </w:sdtContent>
                      </w:sdt>
                    </w:p>
                  </w:txbxContent>
                </v:textbox>
                <w10:wrap anchory="page"/>
                <w10:anchorlock/>
              </v:shape>
            </w:pict>
          </mc:Fallback>
        </mc:AlternateContent>
      </w:r>
      <w:r>
        <w:br w:type="page"/>
      </w:r>
    </w:p>
    <w:sdt>
      <w:sdtPr>
        <w:rPr>
          <w:rFonts w:asciiTheme="minorHAnsi" w:eastAsiaTheme="minorHAnsi" w:hAnsiTheme="minorHAnsi" w:cstheme="majorHAnsi"/>
          <w:b w:val="0"/>
          <w:szCs w:val="22"/>
        </w:rPr>
        <w:id w:val="-341472833"/>
        <w:docPartObj>
          <w:docPartGallery w:val="Table of Contents"/>
          <w:docPartUnique/>
        </w:docPartObj>
      </w:sdtPr>
      <w:sdtEndPr>
        <w:rPr>
          <w:bCs w:val="0"/>
        </w:rPr>
      </w:sdtEndPr>
      <w:sdtContent>
        <w:p w14:paraId="245A093F" w14:textId="77777777" w:rsidR="00E479C7" w:rsidRPr="00A5344E" w:rsidRDefault="0038719B" w:rsidP="00E479C7">
          <w:pPr>
            <w:pStyle w:val="Inhaltsverzeichnisberschrift"/>
            <w:rPr>
              <w:rFonts w:cstheme="majorHAnsi"/>
            </w:rPr>
          </w:pPr>
          <w:r>
            <w:t>Sommaire</w:t>
          </w:r>
        </w:p>
        <w:p w14:paraId="2B8B67FE" w14:textId="1E488A41" w:rsidR="00473914" w:rsidRDefault="0038719B">
          <w:pPr>
            <w:pStyle w:val="Verzeichnis1"/>
            <w:rPr>
              <w:rFonts w:eastAsiaTheme="minorEastAsia" w:cstheme="minorBidi"/>
              <w:b w:val="0"/>
              <w:bCs w:val="0"/>
              <w:noProof/>
              <w:spacing w:val="0"/>
              <w:kern w:val="2"/>
              <w:sz w:val="24"/>
              <w:szCs w:val="24"/>
              <w:lang w:val="de-CH" w:eastAsia="de-CH"/>
              <w14:ligatures w14:val="standardContextual"/>
            </w:rPr>
          </w:pPr>
          <w:r w:rsidRPr="00A5344E">
            <w:rPr>
              <w:rFonts w:asciiTheme="majorHAnsi" w:hAnsiTheme="majorHAnsi" w:cstheme="majorHAnsi"/>
            </w:rPr>
            <w:fldChar w:fldCharType="begin"/>
          </w:r>
          <w:r w:rsidRPr="00A5344E">
            <w:rPr>
              <w:rFonts w:asciiTheme="majorHAnsi" w:hAnsiTheme="majorHAnsi" w:cstheme="majorHAnsi"/>
            </w:rPr>
            <w:instrText xml:space="preserve"> TOC \o "1-3" \h \z \u </w:instrText>
          </w:r>
          <w:r w:rsidRPr="00A5344E">
            <w:rPr>
              <w:rFonts w:asciiTheme="majorHAnsi" w:hAnsiTheme="majorHAnsi" w:cstheme="majorHAnsi"/>
            </w:rPr>
            <w:fldChar w:fldCharType="separate"/>
          </w:r>
          <w:hyperlink w:anchor="_Toc196227236" w:history="1">
            <w:r w:rsidR="00473914" w:rsidRPr="00B0161A">
              <w:rPr>
                <w:rStyle w:val="Hyperlink"/>
                <w:rFonts w:cstheme="majorHAnsi"/>
                <w:noProof/>
                <w:spacing w:val="-10"/>
              </w:rPr>
              <w:t>1.</w:t>
            </w:r>
            <w:r w:rsidR="00473914">
              <w:rPr>
                <w:rFonts w:eastAsiaTheme="minorEastAsia" w:cstheme="minorBidi"/>
                <w:b w:val="0"/>
                <w:bCs w:val="0"/>
                <w:noProof/>
                <w:spacing w:val="0"/>
                <w:kern w:val="2"/>
                <w:sz w:val="24"/>
                <w:szCs w:val="24"/>
                <w:lang w:val="de-CH" w:eastAsia="de-CH"/>
                <w14:ligatures w14:val="standardContextual"/>
              </w:rPr>
              <w:tab/>
            </w:r>
            <w:r w:rsidR="00473914" w:rsidRPr="00B0161A">
              <w:rPr>
                <w:rStyle w:val="Hyperlink"/>
                <w:noProof/>
              </w:rPr>
              <w:t>Analyse permanente - résultats de 2024</w:t>
            </w:r>
            <w:r w:rsidR="00473914">
              <w:rPr>
                <w:noProof/>
                <w:webHidden/>
              </w:rPr>
              <w:tab/>
            </w:r>
            <w:r w:rsidR="00473914">
              <w:rPr>
                <w:noProof/>
                <w:webHidden/>
              </w:rPr>
              <w:fldChar w:fldCharType="begin"/>
            </w:r>
            <w:r w:rsidR="00473914">
              <w:rPr>
                <w:noProof/>
                <w:webHidden/>
              </w:rPr>
              <w:instrText xml:space="preserve"> PAGEREF _Toc196227236 \h </w:instrText>
            </w:r>
            <w:r w:rsidR="00473914">
              <w:rPr>
                <w:noProof/>
                <w:webHidden/>
              </w:rPr>
            </w:r>
            <w:r w:rsidR="00473914">
              <w:rPr>
                <w:noProof/>
                <w:webHidden/>
              </w:rPr>
              <w:fldChar w:fldCharType="separate"/>
            </w:r>
            <w:r w:rsidR="00473914">
              <w:rPr>
                <w:noProof/>
                <w:webHidden/>
              </w:rPr>
              <w:t>3</w:t>
            </w:r>
            <w:r w:rsidR="00473914">
              <w:rPr>
                <w:noProof/>
                <w:webHidden/>
              </w:rPr>
              <w:fldChar w:fldCharType="end"/>
            </w:r>
          </w:hyperlink>
        </w:p>
        <w:p w14:paraId="1E2156D7" w14:textId="335CA8FC"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37" w:history="1">
            <w:r w:rsidR="00473914" w:rsidRPr="00B0161A">
              <w:rPr>
                <w:rStyle w:val="Hyperlink"/>
                <w:rFonts w:cstheme="majorHAnsi"/>
                <w:noProof/>
                <w:spacing w:val="-10"/>
              </w:rPr>
              <w:t>1.1</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Contexte</w:t>
            </w:r>
            <w:r w:rsidR="00473914">
              <w:rPr>
                <w:noProof/>
                <w:webHidden/>
              </w:rPr>
              <w:tab/>
            </w:r>
            <w:r w:rsidR="00473914">
              <w:rPr>
                <w:noProof/>
                <w:webHidden/>
              </w:rPr>
              <w:fldChar w:fldCharType="begin"/>
            </w:r>
            <w:r w:rsidR="00473914">
              <w:rPr>
                <w:noProof/>
                <w:webHidden/>
              </w:rPr>
              <w:instrText xml:space="preserve"> PAGEREF _Toc196227237 \h </w:instrText>
            </w:r>
            <w:r w:rsidR="00473914">
              <w:rPr>
                <w:noProof/>
                <w:webHidden/>
              </w:rPr>
            </w:r>
            <w:r w:rsidR="00473914">
              <w:rPr>
                <w:noProof/>
                <w:webHidden/>
              </w:rPr>
              <w:fldChar w:fldCharType="separate"/>
            </w:r>
            <w:r w:rsidR="00473914">
              <w:rPr>
                <w:noProof/>
                <w:webHidden/>
              </w:rPr>
              <w:t>3</w:t>
            </w:r>
            <w:r w:rsidR="00473914">
              <w:rPr>
                <w:noProof/>
                <w:webHidden/>
              </w:rPr>
              <w:fldChar w:fldCharType="end"/>
            </w:r>
          </w:hyperlink>
        </w:p>
        <w:p w14:paraId="000D283D" w14:textId="7460CDC8"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38" w:history="1">
            <w:r w:rsidR="00473914" w:rsidRPr="00B0161A">
              <w:rPr>
                <w:rStyle w:val="Hyperlink"/>
                <w:rFonts w:cstheme="majorHAnsi"/>
                <w:noProof/>
                <w:spacing w:val="-10"/>
              </w:rPr>
              <w:t>1.2</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Structure de ce rapport</w:t>
            </w:r>
            <w:r w:rsidR="00473914">
              <w:rPr>
                <w:noProof/>
                <w:webHidden/>
              </w:rPr>
              <w:tab/>
            </w:r>
            <w:r w:rsidR="00473914">
              <w:rPr>
                <w:noProof/>
                <w:webHidden/>
              </w:rPr>
              <w:fldChar w:fldCharType="begin"/>
            </w:r>
            <w:r w:rsidR="00473914">
              <w:rPr>
                <w:noProof/>
                <w:webHidden/>
              </w:rPr>
              <w:instrText xml:space="preserve"> PAGEREF _Toc196227238 \h </w:instrText>
            </w:r>
            <w:r w:rsidR="00473914">
              <w:rPr>
                <w:noProof/>
                <w:webHidden/>
              </w:rPr>
            </w:r>
            <w:r w:rsidR="00473914">
              <w:rPr>
                <w:noProof/>
                <w:webHidden/>
              </w:rPr>
              <w:fldChar w:fldCharType="separate"/>
            </w:r>
            <w:r w:rsidR="00473914">
              <w:rPr>
                <w:noProof/>
                <w:webHidden/>
              </w:rPr>
              <w:t>3</w:t>
            </w:r>
            <w:r w:rsidR="00473914">
              <w:rPr>
                <w:noProof/>
                <w:webHidden/>
              </w:rPr>
              <w:fldChar w:fldCharType="end"/>
            </w:r>
          </w:hyperlink>
        </w:p>
        <w:p w14:paraId="13CD4D22" w14:textId="72F35D7D" w:rsidR="00473914" w:rsidRDefault="009D02A2">
          <w:pPr>
            <w:pStyle w:val="Verzeichnis1"/>
            <w:rPr>
              <w:rFonts w:eastAsiaTheme="minorEastAsia" w:cstheme="minorBidi"/>
              <w:b w:val="0"/>
              <w:bCs w:val="0"/>
              <w:noProof/>
              <w:spacing w:val="0"/>
              <w:kern w:val="2"/>
              <w:sz w:val="24"/>
              <w:szCs w:val="24"/>
              <w:lang w:val="de-CH" w:eastAsia="de-CH"/>
              <w14:ligatures w14:val="standardContextual"/>
            </w:rPr>
          </w:pPr>
          <w:hyperlink w:anchor="_Toc196227239" w:history="1">
            <w:r w:rsidR="00473914" w:rsidRPr="00B0161A">
              <w:rPr>
                <w:rStyle w:val="Hyperlink"/>
                <w:rFonts w:cstheme="majorHAnsi"/>
                <w:noProof/>
                <w:spacing w:val="-10"/>
              </w:rPr>
              <w:t>2.</w:t>
            </w:r>
            <w:r w:rsidR="00473914">
              <w:rPr>
                <w:rFonts w:eastAsiaTheme="minorEastAsia" w:cstheme="minorBidi"/>
                <w:b w:val="0"/>
                <w:bCs w:val="0"/>
                <w:noProof/>
                <w:spacing w:val="0"/>
                <w:kern w:val="2"/>
                <w:sz w:val="24"/>
                <w:szCs w:val="24"/>
                <w:lang w:val="de-CH" w:eastAsia="de-CH"/>
                <w14:ligatures w14:val="standardContextual"/>
              </w:rPr>
              <w:tab/>
            </w:r>
            <w:r w:rsidR="00473914" w:rsidRPr="00B0161A">
              <w:rPr>
                <w:rStyle w:val="Hyperlink"/>
                <w:noProof/>
              </w:rPr>
              <w:t>Péréquation financière</w:t>
            </w:r>
            <w:r w:rsidR="00473914">
              <w:rPr>
                <w:noProof/>
                <w:webHidden/>
              </w:rPr>
              <w:tab/>
            </w:r>
            <w:r w:rsidR="00473914">
              <w:rPr>
                <w:noProof/>
                <w:webHidden/>
              </w:rPr>
              <w:fldChar w:fldCharType="begin"/>
            </w:r>
            <w:r w:rsidR="00473914">
              <w:rPr>
                <w:noProof/>
                <w:webHidden/>
              </w:rPr>
              <w:instrText xml:space="preserve"> PAGEREF _Toc196227239 \h </w:instrText>
            </w:r>
            <w:r w:rsidR="00473914">
              <w:rPr>
                <w:noProof/>
                <w:webHidden/>
              </w:rPr>
            </w:r>
            <w:r w:rsidR="00473914">
              <w:rPr>
                <w:noProof/>
                <w:webHidden/>
              </w:rPr>
              <w:fldChar w:fldCharType="separate"/>
            </w:r>
            <w:r w:rsidR="00473914">
              <w:rPr>
                <w:noProof/>
                <w:webHidden/>
              </w:rPr>
              <w:t>4</w:t>
            </w:r>
            <w:r w:rsidR="00473914">
              <w:rPr>
                <w:noProof/>
                <w:webHidden/>
              </w:rPr>
              <w:fldChar w:fldCharType="end"/>
            </w:r>
          </w:hyperlink>
        </w:p>
        <w:p w14:paraId="4614C1D5" w14:textId="1528E27F"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0" w:history="1">
            <w:r w:rsidR="00473914" w:rsidRPr="00B0161A">
              <w:rPr>
                <w:rStyle w:val="Hyperlink"/>
                <w:rFonts w:cstheme="majorHAnsi"/>
                <w:noProof/>
                <w:spacing w:val="-10"/>
              </w:rPr>
              <w:t>2.1</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Péréquation financière directe</w:t>
            </w:r>
            <w:r w:rsidR="00473914">
              <w:rPr>
                <w:noProof/>
                <w:webHidden/>
              </w:rPr>
              <w:tab/>
            </w:r>
            <w:r w:rsidR="00473914">
              <w:rPr>
                <w:noProof/>
                <w:webHidden/>
              </w:rPr>
              <w:fldChar w:fldCharType="begin"/>
            </w:r>
            <w:r w:rsidR="00473914">
              <w:rPr>
                <w:noProof/>
                <w:webHidden/>
              </w:rPr>
              <w:instrText xml:space="preserve"> PAGEREF _Toc196227240 \h </w:instrText>
            </w:r>
            <w:r w:rsidR="00473914">
              <w:rPr>
                <w:noProof/>
                <w:webHidden/>
              </w:rPr>
            </w:r>
            <w:r w:rsidR="00473914">
              <w:rPr>
                <w:noProof/>
                <w:webHidden/>
              </w:rPr>
              <w:fldChar w:fldCharType="separate"/>
            </w:r>
            <w:r w:rsidR="00473914">
              <w:rPr>
                <w:noProof/>
                <w:webHidden/>
              </w:rPr>
              <w:t>4</w:t>
            </w:r>
            <w:r w:rsidR="00473914">
              <w:rPr>
                <w:noProof/>
                <w:webHidden/>
              </w:rPr>
              <w:fldChar w:fldCharType="end"/>
            </w:r>
          </w:hyperlink>
        </w:p>
        <w:p w14:paraId="255CDD85" w14:textId="15671DDD"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1" w:history="1">
            <w:r w:rsidR="00473914" w:rsidRPr="00B0161A">
              <w:rPr>
                <w:rStyle w:val="Hyperlink"/>
                <w:rFonts w:cstheme="majorHAnsi"/>
                <w:noProof/>
                <w:spacing w:val="-10"/>
              </w:rPr>
              <w:t>2.2</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Mesures en faveur des communes supportant des charges particulièrement lourdes</w:t>
            </w:r>
            <w:r w:rsidR="00473914">
              <w:rPr>
                <w:noProof/>
                <w:webHidden/>
              </w:rPr>
              <w:tab/>
            </w:r>
            <w:r w:rsidR="00473914">
              <w:rPr>
                <w:noProof/>
                <w:webHidden/>
              </w:rPr>
              <w:fldChar w:fldCharType="begin"/>
            </w:r>
            <w:r w:rsidR="00473914">
              <w:rPr>
                <w:noProof/>
                <w:webHidden/>
              </w:rPr>
              <w:instrText xml:space="preserve"> PAGEREF _Toc196227241 \h </w:instrText>
            </w:r>
            <w:r w:rsidR="00473914">
              <w:rPr>
                <w:noProof/>
                <w:webHidden/>
              </w:rPr>
            </w:r>
            <w:r w:rsidR="00473914">
              <w:rPr>
                <w:noProof/>
                <w:webHidden/>
              </w:rPr>
              <w:fldChar w:fldCharType="separate"/>
            </w:r>
            <w:r w:rsidR="00473914">
              <w:rPr>
                <w:noProof/>
                <w:webHidden/>
              </w:rPr>
              <w:t>5</w:t>
            </w:r>
            <w:r w:rsidR="00473914">
              <w:rPr>
                <w:noProof/>
                <w:webHidden/>
              </w:rPr>
              <w:fldChar w:fldCharType="end"/>
            </w:r>
          </w:hyperlink>
        </w:p>
        <w:p w14:paraId="76AAF01C" w14:textId="3E432089"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2" w:history="1">
            <w:r w:rsidR="00473914" w:rsidRPr="00B0161A">
              <w:rPr>
                <w:rStyle w:val="Hyperlink"/>
                <w:rFonts w:cstheme="majorHAnsi"/>
                <w:noProof/>
                <w:spacing w:val="-10"/>
              </w:rPr>
              <w:t>2.3</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Évolution des disparités de capacité contributive entre communes</w:t>
            </w:r>
            <w:r w:rsidR="00473914">
              <w:rPr>
                <w:noProof/>
                <w:webHidden/>
              </w:rPr>
              <w:tab/>
            </w:r>
            <w:r w:rsidR="00473914">
              <w:rPr>
                <w:noProof/>
                <w:webHidden/>
              </w:rPr>
              <w:fldChar w:fldCharType="begin"/>
            </w:r>
            <w:r w:rsidR="00473914">
              <w:rPr>
                <w:noProof/>
                <w:webHidden/>
              </w:rPr>
              <w:instrText xml:space="preserve"> PAGEREF _Toc196227242 \h </w:instrText>
            </w:r>
            <w:r w:rsidR="00473914">
              <w:rPr>
                <w:noProof/>
                <w:webHidden/>
              </w:rPr>
            </w:r>
            <w:r w:rsidR="00473914">
              <w:rPr>
                <w:noProof/>
                <w:webHidden/>
              </w:rPr>
              <w:fldChar w:fldCharType="separate"/>
            </w:r>
            <w:r w:rsidR="00473914">
              <w:rPr>
                <w:noProof/>
                <w:webHidden/>
              </w:rPr>
              <w:t>5</w:t>
            </w:r>
            <w:r w:rsidR="00473914">
              <w:rPr>
                <w:noProof/>
                <w:webHidden/>
              </w:rPr>
              <w:fldChar w:fldCharType="end"/>
            </w:r>
          </w:hyperlink>
        </w:p>
        <w:p w14:paraId="16CA563D" w14:textId="14B10F0A" w:rsidR="00473914" w:rsidRDefault="009D02A2">
          <w:pPr>
            <w:pStyle w:val="Verzeichnis1"/>
            <w:rPr>
              <w:rFonts w:eastAsiaTheme="minorEastAsia" w:cstheme="minorBidi"/>
              <w:b w:val="0"/>
              <w:bCs w:val="0"/>
              <w:noProof/>
              <w:spacing w:val="0"/>
              <w:kern w:val="2"/>
              <w:sz w:val="24"/>
              <w:szCs w:val="24"/>
              <w:lang w:val="de-CH" w:eastAsia="de-CH"/>
              <w14:ligatures w14:val="standardContextual"/>
            </w:rPr>
          </w:pPr>
          <w:hyperlink w:anchor="_Toc196227243" w:history="1">
            <w:r w:rsidR="00473914" w:rsidRPr="00B0161A">
              <w:rPr>
                <w:rStyle w:val="Hyperlink"/>
                <w:rFonts w:cstheme="majorHAnsi"/>
                <w:noProof/>
                <w:spacing w:val="-10"/>
              </w:rPr>
              <w:t>3.</w:t>
            </w:r>
            <w:r w:rsidR="00473914">
              <w:rPr>
                <w:rFonts w:eastAsiaTheme="minorEastAsia" w:cstheme="minorBidi"/>
                <w:b w:val="0"/>
                <w:bCs w:val="0"/>
                <w:noProof/>
                <w:spacing w:val="0"/>
                <w:kern w:val="2"/>
                <w:sz w:val="24"/>
                <w:szCs w:val="24"/>
                <w:lang w:val="de-CH" w:eastAsia="de-CH"/>
                <w14:ligatures w14:val="standardContextual"/>
              </w:rPr>
              <w:tab/>
            </w:r>
            <w:r w:rsidR="00473914" w:rsidRPr="00B0161A">
              <w:rPr>
                <w:rStyle w:val="Hyperlink"/>
                <w:noProof/>
              </w:rPr>
              <w:t>Systèmes de compensation des charges</w:t>
            </w:r>
            <w:r w:rsidR="00473914">
              <w:rPr>
                <w:noProof/>
                <w:webHidden/>
              </w:rPr>
              <w:tab/>
            </w:r>
            <w:r w:rsidR="00473914">
              <w:rPr>
                <w:noProof/>
                <w:webHidden/>
              </w:rPr>
              <w:fldChar w:fldCharType="begin"/>
            </w:r>
            <w:r w:rsidR="00473914">
              <w:rPr>
                <w:noProof/>
                <w:webHidden/>
              </w:rPr>
              <w:instrText xml:space="preserve"> PAGEREF _Toc196227243 \h </w:instrText>
            </w:r>
            <w:r w:rsidR="00473914">
              <w:rPr>
                <w:noProof/>
                <w:webHidden/>
              </w:rPr>
            </w:r>
            <w:r w:rsidR="00473914">
              <w:rPr>
                <w:noProof/>
                <w:webHidden/>
              </w:rPr>
              <w:fldChar w:fldCharType="separate"/>
            </w:r>
            <w:r w:rsidR="00473914">
              <w:rPr>
                <w:noProof/>
                <w:webHidden/>
              </w:rPr>
              <w:t>7</w:t>
            </w:r>
            <w:r w:rsidR="00473914">
              <w:rPr>
                <w:noProof/>
                <w:webHidden/>
              </w:rPr>
              <w:fldChar w:fldCharType="end"/>
            </w:r>
          </w:hyperlink>
        </w:p>
        <w:p w14:paraId="6B5B2392" w14:textId="30103D42"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4" w:history="1">
            <w:r w:rsidR="00473914" w:rsidRPr="00B0161A">
              <w:rPr>
                <w:rStyle w:val="Hyperlink"/>
                <w:rFonts w:cstheme="majorHAnsi"/>
                <w:noProof/>
                <w:spacing w:val="-10"/>
              </w:rPr>
              <w:t>3.1</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Vue d'ensemble</w:t>
            </w:r>
            <w:r w:rsidR="00473914">
              <w:rPr>
                <w:noProof/>
                <w:webHidden/>
              </w:rPr>
              <w:tab/>
            </w:r>
            <w:r w:rsidR="00473914">
              <w:rPr>
                <w:noProof/>
                <w:webHidden/>
              </w:rPr>
              <w:fldChar w:fldCharType="begin"/>
            </w:r>
            <w:r w:rsidR="00473914">
              <w:rPr>
                <w:noProof/>
                <w:webHidden/>
              </w:rPr>
              <w:instrText xml:space="preserve"> PAGEREF _Toc196227244 \h </w:instrText>
            </w:r>
            <w:r w:rsidR="00473914">
              <w:rPr>
                <w:noProof/>
                <w:webHidden/>
              </w:rPr>
            </w:r>
            <w:r w:rsidR="00473914">
              <w:rPr>
                <w:noProof/>
                <w:webHidden/>
              </w:rPr>
              <w:fldChar w:fldCharType="separate"/>
            </w:r>
            <w:r w:rsidR="00473914">
              <w:rPr>
                <w:noProof/>
                <w:webHidden/>
              </w:rPr>
              <w:t>7</w:t>
            </w:r>
            <w:r w:rsidR="00473914">
              <w:rPr>
                <w:noProof/>
                <w:webHidden/>
              </w:rPr>
              <w:fldChar w:fldCharType="end"/>
            </w:r>
          </w:hyperlink>
        </w:p>
        <w:p w14:paraId="227087D6" w14:textId="64DC60DD"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5" w:history="1">
            <w:r w:rsidR="00473914" w:rsidRPr="00B0161A">
              <w:rPr>
                <w:rStyle w:val="Hyperlink"/>
                <w:rFonts w:cstheme="majorHAnsi"/>
                <w:noProof/>
                <w:spacing w:val="-10"/>
              </w:rPr>
              <w:t>3.2</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Compensation des charges de traitements du corps enseignant</w:t>
            </w:r>
            <w:r w:rsidR="00473914">
              <w:rPr>
                <w:noProof/>
                <w:webHidden/>
              </w:rPr>
              <w:tab/>
            </w:r>
            <w:r w:rsidR="00473914">
              <w:rPr>
                <w:noProof/>
                <w:webHidden/>
              </w:rPr>
              <w:fldChar w:fldCharType="begin"/>
            </w:r>
            <w:r w:rsidR="00473914">
              <w:rPr>
                <w:noProof/>
                <w:webHidden/>
              </w:rPr>
              <w:instrText xml:space="preserve"> PAGEREF _Toc196227245 \h </w:instrText>
            </w:r>
            <w:r w:rsidR="00473914">
              <w:rPr>
                <w:noProof/>
                <w:webHidden/>
              </w:rPr>
            </w:r>
            <w:r w:rsidR="00473914">
              <w:rPr>
                <w:noProof/>
                <w:webHidden/>
              </w:rPr>
              <w:fldChar w:fldCharType="separate"/>
            </w:r>
            <w:r w:rsidR="00473914">
              <w:rPr>
                <w:noProof/>
                <w:webHidden/>
              </w:rPr>
              <w:t>7</w:t>
            </w:r>
            <w:r w:rsidR="00473914">
              <w:rPr>
                <w:noProof/>
                <w:webHidden/>
              </w:rPr>
              <w:fldChar w:fldCharType="end"/>
            </w:r>
          </w:hyperlink>
        </w:p>
        <w:p w14:paraId="5217D084" w14:textId="089D6190"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6" w:history="1">
            <w:r w:rsidR="00473914" w:rsidRPr="00B0161A">
              <w:rPr>
                <w:rStyle w:val="Hyperlink"/>
                <w:rFonts w:cstheme="majorHAnsi"/>
                <w:noProof/>
                <w:spacing w:val="-10"/>
              </w:rPr>
              <w:t>3.3</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Compensation des charges de l’action sociale</w:t>
            </w:r>
            <w:r w:rsidR="00473914">
              <w:rPr>
                <w:noProof/>
                <w:webHidden/>
              </w:rPr>
              <w:tab/>
            </w:r>
            <w:r w:rsidR="00473914">
              <w:rPr>
                <w:noProof/>
                <w:webHidden/>
              </w:rPr>
              <w:fldChar w:fldCharType="begin"/>
            </w:r>
            <w:r w:rsidR="00473914">
              <w:rPr>
                <w:noProof/>
                <w:webHidden/>
              </w:rPr>
              <w:instrText xml:space="preserve"> PAGEREF _Toc196227246 \h </w:instrText>
            </w:r>
            <w:r w:rsidR="00473914">
              <w:rPr>
                <w:noProof/>
                <w:webHidden/>
              </w:rPr>
            </w:r>
            <w:r w:rsidR="00473914">
              <w:rPr>
                <w:noProof/>
                <w:webHidden/>
              </w:rPr>
              <w:fldChar w:fldCharType="separate"/>
            </w:r>
            <w:r w:rsidR="00473914">
              <w:rPr>
                <w:noProof/>
                <w:webHidden/>
              </w:rPr>
              <w:t>8</w:t>
            </w:r>
            <w:r w:rsidR="00473914">
              <w:rPr>
                <w:noProof/>
                <w:webHidden/>
              </w:rPr>
              <w:fldChar w:fldCharType="end"/>
            </w:r>
          </w:hyperlink>
        </w:p>
        <w:p w14:paraId="76A7457F" w14:textId="5AE3DDAE"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7" w:history="1">
            <w:r w:rsidR="00473914" w:rsidRPr="00B0161A">
              <w:rPr>
                <w:rStyle w:val="Hyperlink"/>
                <w:rFonts w:cstheme="majorHAnsi"/>
                <w:noProof/>
                <w:spacing w:val="-10"/>
              </w:rPr>
              <w:t>3.4</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Compensation des charges de prestations complémentaires à l’AVS/AI et d’allocations familiales pour personnes sans emploi (assurances sociales)</w:t>
            </w:r>
            <w:r w:rsidR="00473914">
              <w:rPr>
                <w:noProof/>
                <w:webHidden/>
              </w:rPr>
              <w:tab/>
            </w:r>
            <w:r w:rsidR="00473914">
              <w:rPr>
                <w:noProof/>
                <w:webHidden/>
              </w:rPr>
              <w:fldChar w:fldCharType="begin"/>
            </w:r>
            <w:r w:rsidR="00473914">
              <w:rPr>
                <w:noProof/>
                <w:webHidden/>
              </w:rPr>
              <w:instrText xml:space="preserve"> PAGEREF _Toc196227247 \h </w:instrText>
            </w:r>
            <w:r w:rsidR="00473914">
              <w:rPr>
                <w:noProof/>
                <w:webHidden/>
              </w:rPr>
            </w:r>
            <w:r w:rsidR="00473914">
              <w:rPr>
                <w:noProof/>
                <w:webHidden/>
              </w:rPr>
              <w:fldChar w:fldCharType="separate"/>
            </w:r>
            <w:r w:rsidR="00473914">
              <w:rPr>
                <w:noProof/>
                <w:webHidden/>
              </w:rPr>
              <w:t>8</w:t>
            </w:r>
            <w:r w:rsidR="00473914">
              <w:rPr>
                <w:noProof/>
                <w:webHidden/>
              </w:rPr>
              <w:fldChar w:fldCharType="end"/>
            </w:r>
          </w:hyperlink>
        </w:p>
        <w:p w14:paraId="0A220869" w14:textId="5677160E"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8" w:history="1">
            <w:r w:rsidR="00473914" w:rsidRPr="00B0161A">
              <w:rPr>
                <w:rStyle w:val="Hyperlink"/>
                <w:rFonts w:cstheme="majorHAnsi"/>
                <w:noProof/>
                <w:spacing w:val="-10"/>
              </w:rPr>
              <w:t>3.5</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Compensation des charges de transports publics</w:t>
            </w:r>
            <w:r w:rsidR="00473914">
              <w:rPr>
                <w:noProof/>
                <w:webHidden/>
              </w:rPr>
              <w:tab/>
            </w:r>
            <w:r w:rsidR="00473914">
              <w:rPr>
                <w:noProof/>
                <w:webHidden/>
              </w:rPr>
              <w:fldChar w:fldCharType="begin"/>
            </w:r>
            <w:r w:rsidR="00473914">
              <w:rPr>
                <w:noProof/>
                <w:webHidden/>
              </w:rPr>
              <w:instrText xml:space="preserve"> PAGEREF _Toc196227248 \h </w:instrText>
            </w:r>
            <w:r w:rsidR="00473914">
              <w:rPr>
                <w:noProof/>
                <w:webHidden/>
              </w:rPr>
            </w:r>
            <w:r w:rsidR="00473914">
              <w:rPr>
                <w:noProof/>
                <w:webHidden/>
              </w:rPr>
              <w:fldChar w:fldCharType="separate"/>
            </w:r>
            <w:r w:rsidR="00473914">
              <w:rPr>
                <w:noProof/>
                <w:webHidden/>
              </w:rPr>
              <w:t>8</w:t>
            </w:r>
            <w:r w:rsidR="00473914">
              <w:rPr>
                <w:noProof/>
                <w:webHidden/>
              </w:rPr>
              <w:fldChar w:fldCharType="end"/>
            </w:r>
          </w:hyperlink>
        </w:p>
        <w:p w14:paraId="56A94D94" w14:textId="73124ABF"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49" w:history="1">
            <w:r w:rsidR="00473914" w:rsidRPr="00B0161A">
              <w:rPr>
                <w:rStyle w:val="Hyperlink"/>
                <w:rFonts w:cstheme="majorHAnsi"/>
                <w:noProof/>
                <w:spacing w:val="-10"/>
              </w:rPr>
              <w:t>3.6</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Compensation des charges « nouvelle répartition des tâches »</w:t>
            </w:r>
            <w:r w:rsidR="00473914">
              <w:rPr>
                <w:noProof/>
                <w:webHidden/>
              </w:rPr>
              <w:tab/>
            </w:r>
            <w:r w:rsidR="00473914">
              <w:rPr>
                <w:noProof/>
                <w:webHidden/>
              </w:rPr>
              <w:fldChar w:fldCharType="begin"/>
            </w:r>
            <w:r w:rsidR="00473914">
              <w:rPr>
                <w:noProof/>
                <w:webHidden/>
              </w:rPr>
              <w:instrText xml:space="preserve"> PAGEREF _Toc196227249 \h </w:instrText>
            </w:r>
            <w:r w:rsidR="00473914">
              <w:rPr>
                <w:noProof/>
                <w:webHidden/>
              </w:rPr>
            </w:r>
            <w:r w:rsidR="00473914">
              <w:rPr>
                <w:noProof/>
                <w:webHidden/>
              </w:rPr>
              <w:fldChar w:fldCharType="separate"/>
            </w:r>
            <w:r w:rsidR="00473914">
              <w:rPr>
                <w:noProof/>
                <w:webHidden/>
              </w:rPr>
              <w:t>9</w:t>
            </w:r>
            <w:r w:rsidR="00473914">
              <w:rPr>
                <w:noProof/>
                <w:webHidden/>
              </w:rPr>
              <w:fldChar w:fldCharType="end"/>
            </w:r>
          </w:hyperlink>
        </w:p>
        <w:p w14:paraId="381211C4" w14:textId="3976583C"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0" w:history="1">
            <w:r w:rsidR="00473914" w:rsidRPr="00B0161A">
              <w:rPr>
                <w:rStyle w:val="Hyperlink"/>
                <w:rFonts w:cstheme="majorHAnsi"/>
                <w:noProof/>
                <w:spacing w:val="-10"/>
              </w:rPr>
              <w:t>3.7</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Prévision de l’évolution des coûts afférents à la compensation des charges</w:t>
            </w:r>
            <w:r w:rsidR="00473914">
              <w:rPr>
                <w:noProof/>
                <w:webHidden/>
              </w:rPr>
              <w:tab/>
            </w:r>
            <w:r w:rsidR="00473914">
              <w:rPr>
                <w:noProof/>
                <w:webHidden/>
              </w:rPr>
              <w:fldChar w:fldCharType="begin"/>
            </w:r>
            <w:r w:rsidR="00473914">
              <w:rPr>
                <w:noProof/>
                <w:webHidden/>
              </w:rPr>
              <w:instrText xml:space="preserve"> PAGEREF _Toc196227250 \h </w:instrText>
            </w:r>
            <w:r w:rsidR="00473914">
              <w:rPr>
                <w:noProof/>
                <w:webHidden/>
              </w:rPr>
            </w:r>
            <w:r w:rsidR="00473914">
              <w:rPr>
                <w:noProof/>
                <w:webHidden/>
              </w:rPr>
              <w:fldChar w:fldCharType="separate"/>
            </w:r>
            <w:r w:rsidR="00473914">
              <w:rPr>
                <w:noProof/>
                <w:webHidden/>
              </w:rPr>
              <w:t>9</w:t>
            </w:r>
            <w:r w:rsidR="00473914">
              <w:rPr>
                <w:noProof/>
                <w:webHidden/>
              </w:rPr>
              <w:fldChar w:fldCharType="end"/>
            </w:r>
          </w:hyperlink>
        </w:p>
        <w:p w14:paraId="28404E5E" w14:textId="7A30127F"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1" w:history="1">
            <w:r w:rsidR="00473914" w:rsidRPr="00B0161A">
              <w:rPr>
                <w:rStyle w:val="Hyperlink"/>
                <w:rFonts w:cstheme="majorHAnsi"/>
                <w:noProof/>
                <w:spacing w:val="-10"/>
              </w:rPr>
              <w:t>3.8</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Système de compensation des charges – part du canton</w:t>
            </w:r>
            <w:r w:rsidR="00473914">
              <w:rPr>
                <w:noProof/>
                <w:webHidden/>
              </w:rPr>
              <w:tab/>
            </w:r>
            <w:r w:rsidR="00473914">
              <w:rPr>
                <w:noProof/>
                <w:webHidden/>
              </w:rPr>
              <w:fldChar w:fldCharType="begin"/>
            </w:r>
            <w:r w:rsidR="00473914">
              <w:rPr>
                <w:noProof/>
                <w:webHidden/>
              </w:rPr>
              <w:instrText xml:space="preserve"> PAGEREF _Toc196227251 \h </w:instrText>
            </w:r>
            <w:r w:rsidR="00473914">
              <w:rPr>
                <w:noProof/>
                <w:webHidden/>
              </w:rPr>
            </w:r>
            <w:r w:rsidR="00473914">
              <w:rPr>
                <w:noProof/>
                <w:webHidden/>
              </w:rPr>
              <w:fldChar w:fldCharType="separate"/>
            </w:r>
            <w:r w:rsidR="00473914">
              <w:rPr>
                <w:noProof/>
                <w:webHidden/>
              </w:rPr>
              <w:t>10</w:t>
            </w:r>
            <w:r w:rsidR="00473914">
              <w:rPr>
                <w:noProof/>
                <w:webHidden/>
              </w:rPr>
              <w:fldChar w:fldCharType="end"/>
            </w:r>
          </w:hyperlink>
        </w:p>
        <w:p w14:paraId="460B2E89" w14:textId="38956F26"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2" w:history="1">
            <w:r w:rsidR="00473914" w:rsidRPr="00B0161A">
              <w:rPr>
                <w:rStyle w:val="Hyperlink"/>
                <w:rFonts w:cstheme="majorHAnsi"/>
                <w:noProof/>
                <w:spacing w:val="-10"/>
              </w:rPr>
              <w:t>3.9</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Évolution globale de 2020 à 2024</w:t>
            </w:r>
            <w:r w:rsidR="00473914">
              <w:rPr>
                <w:noProof/>
                <w:webHidden/>
              </w:rPr>
              <w:tab/>
            </w:r>
            <w:r w:rsidR="00473914">
              <w:rPr>
                <w:noProof/>
                <w:webHidden/>
              </w:rPr>
              <w:fldChar w:fldCharType="begin"/>
            </w:r>
            <w:r w:rsidR="00473914">
              <w:rPr>
                <w:noProof/>
                <w:webHidden/>
              </w:rPr>
              <w:instrText xml:space="preserve"> PAGEREF _Toc196227252 \h </w:instrText>
            </w:r>
            <w:r w:rsidR="00473914">
              <w:rPr>
                <w:noProof/>
                <w:webHidden/>
              </w:rPr>
            </w:r>
            <w:r w:rsidR="00473914">
              <w:rPr>
                <w:noProof/>
                <w:webHidden/>
              </w:rPr>
              <w:fldChar w:fldCharType="separate"/>
            </w:r>
            <w:r w:rsidR="00473914">
              <w:rPr>
                <w:noProof/>
                <w:webHidden/>
              </w:rPr>
              <w:t>11</w:t>
            </w:r>
            <w:r w:rsidR="00473914">
              <w:rPr>
                <w:noProof/>
                <w:webHidden/>
              </w:rPr>
              <w:fldChar w:fldCharType="end"/>
            </w:r>
          </w:hyperlink>
        </w:p>
        <w:p w14:paraId="36051510" w14:textId="3B61EE95" w:rsidR="00473914" w:rsidRDefault="009D02A2">
          <w:pPr>
            <w:pStyle w:val="Verzeichnis1"/>
            <w:rPr>
              <w:rFonts w:eastAsiaTheme="minorEastAsia" w:cstheme="minorBidi"/>
              <w:b w:val="0"/>
              <w:bCs w:val="0"/>
              <w:noProof/>
              <w:spacing w:val="0"/>
              <w:kern w:val="2"/>
              <w:sz w:val="24"/>
              <w:szCs w:val="24"/>
              <w:lang w:val="de-CH" w:eastAsia="de-CH"/>
              <w14:ligatures w14:val="standardContextual"/>
            </w:rPr>
          </w:pPr>
          <w:hyperlink w:anchor="_Toc196227253" w:history="1">
            <w:r w:rsidR="00473914" w:rsidRPr="00B0161A">
              <w:rPr>
                <w:rStyle w:val="Hyperlink"/>
                <w:rFonts w:cstheme="majorHAnsi"/>
                <w:noProof/>
                <w:spacing w:val="-10"/>
              </w:rPr>
              <w:t>4.</w:t>
            </w:r>
            <w:r w:rsidR="00473914">
              <w:rPr>
                <w:rFonts w:eastAsiaTheme="minorEastAsia" w:cstheme="minorBidi"/>
                <w:b w:val="0"/>
                <w:bCs w:val="0"/>
                <w:noProof/>
                <w:spacing w:val="0"/>
                <w:kern w:val="2"/>
                <w:sz w:val="24"/>
                <w:szCs w:val="24"/>
                <w:lang w:val="de-CH" w:eastAsia="de-CH"/>
                <w14:ligatures w14:val="standardContextual"/>
              </w:rPr>
              <w:tab/>
            </w:r>
            <w:r w:rsidR="00473914" w:rsidRPr="00B0161A">
              <w:rPr>
                <w:rStyle w:val="Hyperlink"/>
                <w:noProof/>
              </w:rPr>
              <w:t>Analyse par catégorie de communes</w:t>
            </w:r>
            <w:r w:rsidR="00473914">
              <w:rPr>
                <w:noProof/>
                <w:webHidden/>
              </w:rPr>
              <w:tab/>
            </w:r>
            <w:r w:rsidR="00473914">
              <w:rPr>
                <w:noProof/>
                <w:webHidden/>
              </w:rPr>
              <w:fldChar w:fldCharType="begin"/>
            </w:r>
            <w:r w:rsidR="00473914">
              <w:rPr>
                <w:noProof/>
                <w:webHidden/>
              </w:rPr>
              <w:instrText xml:space="preserve"> PAGEREF _Toc196227253 \h </w:instrText>
            </w:r>
            <w:r w:rsidR="00473914">
              <w:rPr>
                <w:noProof/>
                <w:webHidden/>
              </w:rPr>
            </w:r>
            <w:r w:rsidR="00473914">
              <w:rPr>
                <w:noProof/>
                <w:webHidden/>
              </w:rPr>
              <w:fldChar w:fldCharType="separate"/>
            </w:r>
            <w:r w:rsidR="00473914">
              <w:rPr>
                <w:noProof/>
                <w:webHidden/>
              </w:rPr>
              <w:t>13</w:t>
            </w:r>
            <w:r w:rsidR="00473914">
              <w:rPr>
                <w:noProof/>
                <w:webHidden/>
              </w:rPr>
              <w:fldChar w:fldCharType="end"/>
            </w:r>
          </w:hyperlink>
        </w:p>
        <w:p w14:paraId="7C05D1BD" w14:textId="51650B53"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4" w:history="1">
            <w:r w:rsidR="00473914" w:rsidRPr="00B0161A">
              <w:rPr>
                <w:rStyle w:val="Hyperlink"/>
                <w:rFonts w:cstheme="majorHAnsi"/>
                <w:noProof/>
                <w:spacing w:val="-10"/>
              </w:rPr>
              <w:t>4.1</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Analyse selon les différentes catégories de communes</w:t>
            </w:r>
            <w:r w:rsidR="00473914">
              <w:rPr>
                <w:noProof/>
                <w:webHidden/>
              </w:rPr>
              <w:tab/>
            </w:r>
            <w:r w:rsidR="00473914">
              <w:rPr>
                <w:noProof/>
                <w:webHidden/>
              </w:rPr>
              <w:fldChar w:fldCharType="begin"/>
            </w:r>
            <w:r w:rsidR="00473914">
              <w:rPr>
                <w:noProof/>
                <w:webHidden/>
              </w:rPr>
              <w:instrText xml:space="preserve"> PAGEREF _Toc196227254 \h </w:instrText>
            </w:r>
            <w:r w:rsidR="00473914">
              <w:rPr>
                <w:noProof/>
                <w:webHidden/>
              </w:rPr>
            </w:r>
            <w:r w:rsidR="00473914">
              <w:rPr>
                <w:noProof/>
                <w:webHidden/>
              </w:rPr>
              <w:fldChar w:fldCharType="separate"/>
            </w:r>
            <w:r w:rsidR="00473914">
              <w:rPr>
                <w:noProof/>
                <w:webHidden/>
              </w:rPr>
              <w:t>13</w:t>
            </w:r>
            <w:r w:rsidR="00473914">
              <w:rPr>
                <w:noProof/>
                <w:webHidden/>
              </w:rPr>
              <w:fldChar w:fldCharType="end"/>
            </w:r>
          </w:hyperlink>
        </w:p>
        <w:p w14:paraId="064C3214" w14:textId="7B3358EF"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5" w:history="1">
            <w:r w:rsidR="00473914" w:rsidRPr="00B0161A">
              <w:rPr>
                <w:rStyle w:val="Hyperlink"/>
                <w:rFonts w:cstheme="majorHAnsi"/>
                <w:noProof/>
                <w:spacing w:val="-10"/>
              </w:rPr>
              <w:t>4.2</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Analyse selon l’IRH - période 2019 à 2023</w:t>
            </w:r>
            <w:r w:rsidR="00473914">
              <w:rPr>
                <w:noProof/>
                <w:webHidden/>
              </w:rPr>
              <w:tab/>
            </w:r>
            <w:r w:rsidR="00473914">
              <w:rPr>
                <w:noProof/>
                <w:webHidden/>
              </w:rPr>
              <w:fldChar w:fldCharType="begin"/>
            </w:r>
            <w:r w:rsidR="00473914">
              <w:rPr>
                <w:noProof/>
                <w:webHidden/>
              </w:rPr>
              <w:instrText xml:space="preserve"> PAGEREF _Toc196227255 \h </w:instrText>
            </w:r>
            <w:r w:rsidR="00473914">
              <w:rPr>
                <w:noProof/>
                <w:webHidden/>
              </w:rPr>
            </w:r>
            <w:r w:rsidR="00473914">
              <w:rPr>
                <w:noProof/>
                <w:webHidden/>
              </w:rPr>
              <w:fldChar w:fldCharType="separate"/>
            </w:r>
            <w:r w:rsidR="00473914">
              <w:rPr>
                <w:noProof/>
                <w:webHidden/>
              </w:rPr>
              <w:t>13</w:t>
            </w:r>
            <w:r w:rsidR="00473914">
              <w:rPr>
                <w:noProof/>
                <w:webHidden/>
              </w:rPr>
              <w:fldChar w:fldCharType="end"/>
            </w:r>
          </w:hyperlink>
        </w:p>
        <w:p w14:paraId="3429EAD4" w14:textId="1C83FC49"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6" w:history="1">
            <w:r w:rsidR="00473914" w:rsidRPr="00B0161A">
              <w:rPr>
                <w:rStyle w:val="Hyperlink"/>
                <w:rFonts w:cstheme="majorHAnsi"/>
                <w:noProof/>
                <w:spacing w:val="-10"/>
              </w:rPr>
              <w:t>4.3</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Analyse selon les quotités d’impôt des communes - période 2020 à 2023</w:t>
            </w:r>
            <w:r w:rsidR="00473914">
              <w:rPr>
                <w:noProof/>
                <w:webHidden/>
              </w:rPr>
              <w:tab/>
            </w:r>
            <w:r w:rsidR="00473914">
              <w:rPr>
                <w:noProof/>
                <w:webHidden/>
              </w:rPr>
              <w:fldChar w:fldCharType="begin"/>
            </w:r>
            <w:r w:rsidR="00473914">
              <w:rPr>
                <w:noProof/>
                <w:webHidden/>
              </w:rPr>
              <w:instrText xml:space="preserve"> PAGEREF _Toc196227256 \h </w:instrText>
            </w:r>
            <w:r w:rsidR="00473914">
              <w:rPr>
                <w:noProof/>
                <w:webHidden/>
              </w:rPr>
            </w:r>
            <w:r w:rsidR="00473914">
              <w:rPr>
                <w:noProof/>
                <w:webHidden/>
              </w:rPr>
              <w:fldChar w:fldCharType="separate"/>
            </w:r>
            <w:r w:rsidR="00473914">
              <w:rPr>
                <w:noProof/>
                <w:webHidden/>
              </w:rPr>
              <w:t>14</w:t>
            </w:r>
            <w:r w:rsidR="00473914">
              <w:rPr>
                <w:noProof/>
                <w:webHidden/>
              </w:rPr>
              <w:fldChar w:fldCharType="end"/>
            </w:r>
          </w:hyperlink>
        </w:p>
        <w:p w14:paraId="47229E62" w14:textId="2710A7BE"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7" w:history="1">
            <w:r w:rsidR="00473914" w:rsidRPr="00B0161A">
              <w:rPr>
                <w:rStyle w:val="Hyperlink"/>
                <w:rFonts w:cstheme="majorHAnsi"/>
                <w:noProof/>
                <w:spacing w:val="-10"/>
              </w:rPr>
              <w:t>4.4</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Conclusion</w:t>
            </w:r>
            <w:r w:rsidR="00473914">
              <w:rPr>
                <w:noProof/>
                <w:webHidden/>
              </w:rPr>
              <w:tab/>
            </w:r>
            <w:r w:rsidR="00473914">
              <w:rPr>
                <w:noProof/>
                <w:webHidden/>
              </w:rPr>
              <w:fldChar w:fldCharType="begin"/>
            </w:r>
            <w:r w:rsidR="00473914">
              <w:rPr>
                <w:noProof/>
                <w:webHidden/>
              </w:rPr>
              <w:instrText xml:space="preserve"> PAGEREF _Toc196227257 \h </w:instrText>
            </w:r>
            <w:r w:rsidR="00473914">
              <w:rPr>
                <w:noProof/>
                <w:webHidden/>
              </w:rPr>
            </w:r>
            <w:r w:rsidR="00473914">
              <w:rPr>
                <w:noProof/>
                <w:webHidden/>
              </w:rPr>
              <w:fldChar w:fldCharType="separate"/>
            </w:r>
            <w:r w:rsidR="00473914">
              <w:rPr>
                <w:noProof/>
                <w:webHidden/>
              </w:rPr>
              <w:t>14</w:t>
            </w:r>
            <w:r w:rsidR="00473914">
              <w:rPr>
                <w:noProof/>
                <w:webHidden/>
              </w:rPr>
              <w:fldChar w:fldCharType="end"/>
            </w:r>
          </w:hyperlink>
        </w:p>
        <w:p w14:paraId="1622E780" w14:textId="38795E8B"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8" w:history="1">
            <w:r w:rsidR="00473914" w:rsidRPr="00B0161A">
              <w:rPr>
                <w:rStyle w:val="Hyperlink"/>
                <w:rFonts w:cstheme="majorHAnsi"/>
                <w:noProof/>
                <w:spacing w:val="-10"/>
              </w:rPr>
              <w:t>4.5</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Évolution des quotités d’impôt des communes</w:t>
            </w:r>
            <w:r w:rsidR="00473914">
              <w:rPr>
                <w:noProof/>
                <w:webHidden/>
              </w:rPr>
              <w:tab/>
            </w:r>
            <w:r w:rsidR="00473914">
              <w:rPr>
                <w:noProof/>
                <w:webHidden/>
              </w:rPr>
              <w:fldChar w:fldCharType="begin"/>
            </w:r>
            <w:r w:rsidR="00473914">
              <w:rPr>
                <w:noProof/>
                <w:webHidden/>
              </w:rPr>
              <w:instrText xml:space="preserve"> PAGEREF _Toc196227258 \h </w:instrText>
            </w:r>
            <w:r w:rsidR="00473914">
              <w:rPr>
                <w:noProof/>
                <w:webHidden/>
              </w:rPr>
            </w:r>
            <w:r w:rsidR="00473914">
              <w:rPr>
                <w:noProof/>
                <w:webHidden/>
              </w:rPr>
              <w:fldChar w:fldCharType="separate"/>
            </w:r>
            <w:r w:rsidR="00473914">
              <w:rPr>
                <w:noProof/>
                <w:webHidden/>
              </w:rPr>
              <w:t>14</w:t>
            </w:r>
            <w:r w:rsidR="00473914">
              <w:rPr>
                <w:noProof/>
                <w:webHidden/>
              </w:rPr>
              <w:fldChar w:fldCharType="end"/>
            </w:r>
          </w:hyperlink>
        </w:p>
        <w:p w14:paraId="5417E16E" w14:textId="73AEE421"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59" w:history="1">
            <w:r w:rsidR="00473914" w:rsidRPr="00B0161A">
              <w:rPr>
                <w:rStyle w:val="Hyperlink"/>
                <w:rFonts w:cstheme="majorHAnsi"/>
                <w:noProof/>
                <w:spacing w:val="-10"/>
              </w:rPr>
              <w:t>4.6</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Évolution des rentrées fiscales des communes</w:t>
            </w:r>
            <w:r w:rsidR="00473914">
              <w:rPr>
                <w:noProof/>
                <w:webHidden/>
              </w:rPr>
              <w:tab/>
            </w:r>
            <w:r w:rsidR="00473914">
              <w:rPr>
                <w:noProof/>
                <w:webHidden/>
              </w:rPr>
              <w:fldChar w:fldCharType="begin"/>
            </w:r>
            <w:r w:rsidR="00473914">
              <w:rPr>
                <w:noProof/>
                <w:webHidden/>
              </w:rPr>
              <w:instrText xml:space="preserve"> PAGEREF _Toc196227259 \h </w:instrText>
            </w:r>
            <w:r w:rsidR="00473914">
              <w:rPr>
                <w:noProof/>
                <w:webHidden/>
              </w:rPr>
            </w:r>
            <w:r w:rsidR="00473914">
              <w:rPr>
                <w:noProof/>
                <w:webHidden/>
              </w:rPr>
              <w:fldChar w:fldCharType="separate"/>
            </w:r>
            <w:r w:rsidR="00473914">
              <w:rPr>
                <w:noProof/>
                <w:webHidden/>
              </w:rPr>
              <w:t>15</w:t>
            </w:r>
            <w:r w:rsidR="00473914">
              <w:rPr>
                <w:noProof/>
                <w:webHidden/>
              </w:rPr>
              <w:fldChar w:fldCharType="end"/>
            </w:r>
          </w:hyperlink>
        </w:p>
        <w:p w14:paraId="33302130" w14:textId="09D6C1D9" w:rsidR="00473914" w:rsidRDefault="009D02A2">
          <w:pPr>
            <w:pStyle w:val="Verzeichnis2"/>
            <w:rPr>
              <w:rFonts w:eastAsiaTheme="minorEastAsia" w:cstheme="minorBidi"/>
              <w:bCs w:val="0"/>
              <w:noProof/>
              <w:spacing w:val="0"/>
              <w:kern w:val="2"/>
              <w:sz w:val="24"/>
              <w:szCs w:val="24"/>
              <w:lang w:val="de-CH" w:eastAsia="de-CH"/>
              <w14:ligatures w14:val="standardContextual"/>
            </w:rPr>
          </w:pPr>
          <w:hyperlink w:anchor="_Toc196227260" w:history="1">
            <w:r w:rsidR="00473914" w:rsidRPr="00B0161A">
              <w:rPr>
                <w:rStyle w:val="Hyperlink"/>
                <w:rFonts w:cstheme="majorHAnsi"/>
                <w:noProof/>
                <w:spacing w:val="-10"/>
              </w:rPr>
              <w:t>4.7</w:t>
            </w:r>
            <w:r w:rsidR="00473914">
              <w:rPr>
                <w:rFonts w:eastAsiaTheme="minorEastAsia" w:cstheme="minorBidi"/>
                <w:bCs w:val="0"/>
                <w:noProof/>
                <w:spacing w:val="0"/>
                <w:kern w:val="2"/>
                <w:sz w:val="24"/>
                <w:szCs w:val="24"/>
                <w:lang w:val="de-CH" w:eastAsia="de-CH"/>
                <w14:ligatures w14:val="standardContextual"/>
              </w:rPr>
              <w:tab/>
            </w:r>
            <w:r w:rsidR="00473914" w:rsidRPr="00B0161A">
              <w:rPr>
                <w:rStyle w:val="Hyperlink"/>
                <w:noProof/>
              </w:rPr>
              <w:t>Vue d’ensemble des résultats de l’exercice 2023 des communes</w:t>
            </w:r>
            <w:r w:rsidR="00473914">
              <w:rPr>
                <w:noProof/>
                <w:webHidden/>
              </w:rPr>
              <w:tab/>
            </w:r>
            <w:r w:rsidR="00473914">
              <w:rPr>
                <w:noProof/>
                <w:webHidden/>
              </w:rPr>
              <w:fldChar w:fldCharType="begin"/>
            </w:r>
            <w:r w:rsidR="00473914">
              <w:rPr>
                <w:noProof/>
                <w:webHidden/>
              </w:rPr>
              <w:instrText xml:space="preserve"> PAGEREF _Toc196227260 \h </w:instrText>
            </w:r>
            <w:r w:rsidR="00473914">
              <w:rPr>
                <w:noProof/>
                <w:webHidden/>
              </w:rPr>
            </w:r>
            <w:r w:rsidR="00473914">
              <w:rPr>
                <w:noProof/>
                <w:webHidden/>
              </w:rPr>
              <w:fldChar w:fldCharType="separate"/>
            </w:r>
            <w:r w:rsidR="00473914">
              <w:rPr>
                <w:noProof/>
                <w:webHidden/>
              </w:rPr>
              <w:t>17</w:t>
            </w:r>
            <w:r w:rsidR="00473914">
              <w:rPr>
                <w:noProof/>
                <w:webHidden/>
              </w:rPr>
              <w:fldChar w:fldCharType="end"/>
            </w:r>
          </w:hyperlink>
        </w:p>
        <w:p w14:paraId="5875FB50" w14:textId="5912B7FE" w:rsidR="00473914" w:rsidRDefault="009D02A2">
          <w:pPr>
            <w:pStyle w:val="Verzeichnis1"/>
            <w:rPr>
              <w:rFonts w:eastAsiaTheme="minorEastAsia" w:cstheme="minorBidi"/>
              <w:b w:val="0"/>
              <w:bCs w:val="0"/>
              <w:noProof/>
              <w:spacing w:val="0"/>
              <w:kern w:val="2"/>
              <w:sz w:val="24"/>
              <w:szCs w:val="24"/>
              <w:lang w:val="de-CH" w:eastAsia="de-CH"/>
              <w14:ligatures w14:val="standardContextual"/>
            </w:rPr>
          </w:pPr>
          <w:hyperlink w:anchor="_Toc196227261" w:history="1">
            <w:r w:rsidR="00473914" w:rsidRPr="00B0161A">
              <w:rPr>
                <w:rStyle w:val="Hyperlink"/>
                <w:rFonts w:cstheme="majorHAnsi"/>
                <w:noProof/>
                <w:spacing w:val="-10"/>
              </w:rPr>
              <w:t>5.</w:t>
            </w:r>
            <w:r w:rsidR="00473914">
              <w:rPr>
                <w:rFonts w:eastAsiaTheme="minorEastAsia" w:cstheme="minorBidi"/>
                <w:b w:val="0"/>
                <w:bCs w:val="0"/>
                <w:noProof/>
                <w:spacing w:val="0"/>
                <w:kern w:val="2"/>
                <w:sz w:val="24"/>
                <w:szCs w:val="24"/>
                <w:lang w:val="de-CH" w:eastAsia="de-CH"/>
                <w14:ligatures w14:val="standardContextual"/>
              </w:rPr>
              <w:tab/>
            </w:r>
            <w:r w:rsidR="00473914" w:rsidRPr="00B0161A">
              <w:rPr>
                <w:rStyle w:val="Hyperlink"/>
                <w:noProof/>
              </w:rPr>
              <w:t>Récapitulatif et conclusion</w:t>
            </w:r>
            <w:r w:rsidR="00473914">
              <w:rPr>
                <w:noProof/>
                <w:webHidden/>
              </w:rPr>
              <w:tab/>
            </w:r>
            <w:r w:rsidR="00473914">
              <w:rPr>
                <w:noProof/>
                <w:webHidden/>
              </w:rPr>
              <w:fldChar w:fldCharType="begin"/>
            </w:r>
            <w:r w:rsidR="00473914">
              <w:rPr>
                <w:noProof/>
                <w:webHidden/>
              </w:rPr>
              <w:instrText xml:space="preserve"> PAGEREF _Toc196227261 \h </w:instrText>
            </w:r>
            <w:r w:rsidR="00473914">
              <w:rPr>
                <w:noProof/>
                <w:webHidden/>
              </w:rPr>
            </w:r>
            <w:r w:rsidR="00473914">
              <w:rPr>
                <w:noProof/>
                <w:webHidden/>
              </w:rPr>
              <w:fldChar w:fldCharType="separate"/>
            </w:r>
            <w:r w:rsidR="00473914">
              <w:rPr>
                <w:noProof/>
                <w:webHidden/>
              </w:rPr>
              <w:t>18</w:t>
            </w:r>
            <w:r w:rsidR="00473914">
              <w:rPr>
                <w:noProof/>
                <w:webHidden/>
              </w:rPr>
              <w:fldChar w:fldCharType="end"/>
            </w:r>
          </w:hyperlink>
        </w:p>
        <w:p w14:paraId="413713D7" w14:textId="6255BFF7" w:rsidR="00473914" w:rsidRDefault="009D02A2">
          <w:pPr>
            <w:pStyle w:val="Verzeichnis1"/>
            <w:rPr>
              <w:rFonts w:eastAsiaTheme="minorEastAsia" w:cstheme="minorBidi"/>
              <w:b w:val="0"/>
              <w:bCs w:val="0"/>
              <w:noProof/>
              <w:spacing w:val="0"/>
              <w:kern w:val="2"/>
              <w:sz w:val="24"/>
              <w:szCs w:val="24"/>
              <w:lang w:val="de-CH" w:eastAsia="de-CH"/>
              <w14:ligatures w14:val="standardContextual"/>
            </w:rPr>
          </w:pPr>
          <w:hyperlink w:anchor="_Toc196227262" w:history="1">
            <w:r w:rsidR="00473914" w:rsidRPr="00B0161A">
              <w:rPr>
                <w:rStyle w:val="Hyperlink"/>
                <w:noProof/>
              </w:rPr>
              <w:t>Annexe 1 : Bases légales</w:t>
            </w:r>
            <w:r w:rsidR="00473914">
              <w:rPr>
                <w:noProof/>
                <w:webHidden/>
              </w:rPr>
              <w:tab/>
            </w:r>
            <w:r w:rsidR="00473914">
              <w:rPr>
                <w:noProof/>
                <w:webHidden/>
              </w:rPr>
              <w:fldChar w:fldCharType="begin"/>
            </w:r>
            <w:r w:rsidR="00473914">
              <w:rPr>
                <w:noProof/>
                <w:webHidden/>
              </w:rPr>
              <w:instrText xml:space="preserve"> PAGEREF _Toc196227262 \h </w:instrText>
            </w:r>
            <w:r w:rsidR="00473914">
              <w:rPr>
                <w:noProof/>
                <w:webHidden/>
              </w:rPr>
            </w:r>
            <w:r w:rsidR="00473914">
              <w:rPr>
                <w:noProof/>
                <w:webHidden/>
              </w:rPr>
              <w:fldChar w:fldCharType="separate"/>
            </w:r>
            <w:r w:rsidR="00473914">
              <w:rPr>
                <w:noProof/>
                <w:webHidden/>
              </w:rPr>
              <w:t>19</w:t>
            </w:r>
            <w:r w:rsidR="00473914">
              <w:rPr>
                <w:noProof/>
                <w:webHidden/>
              </w:rPr>
              <w:fldChar w:fldCharType="end"/>
            </w:r>
          </w:hyperlink>
        </w:p>
        <w:p w14:paraId="7900E888" w14:textId="01AE5C0A" w:rsidR="00473914" w:rsidRDefault="009D02A2">
          <w:pPr>
            <w:pStyle w:val="Verzeichnis1"/>
            <w:rPr>
              <w:rFonts w:eastAsiaTheme="minorEastAsia" w:cstheme="minorBidi"/>
              <w:b w:val="0"/>
              <w:bCs w:val="0"/>
              <w:noProof/>
              <w:spacing w:val="0"/>
              <w:kern w:val="2"/>
              <w:sz w:val="24"/>
              <w:szCs w:val="24"/>
              <w:lang w:val="de-CH" w:eastAsia="de-CH"/>
              <w14:ligatures w14:val="standardContextual"/>
            </w:rPr>
          </w:pPr>
          <w:hyperlink w:anchor="_Toc196227263" w:history="1">
            <w:r w:rsidR="00473914" w:rsidRPr="00B0161A">
              <w:rPr>
                <w:rStyle w:val="Hyperlink"/>
                <w:noProof/>
              </w:rPr>
              <w:t>Annexe 2 : Bases de l’affinement des dispositifs de la LPFC</w:t>
            </w:r>
            <w:r w:rsidR="00473914">
              <w:rPr>
                <w:noProof/>
                <w:webHidden/>
              </w:rPr>
              <w:tab/>
            </w:r>
            <w:r w:rsidR="00473914">
              <w:rPr>
                <w:noProof/>
                <w:webHidden/>
              </w:rPr>
              <w:fldChar w:fldCharType="begin"/>
            </w:r>
            <w:r w:rsidR="00473914">
              <w:rPr>
                <w:noProof/>
                <w:webHidden/>
              </w:rPr>
              <w:instrText xml:space="preserve"> PAGEREF _Toc196227263 \h </w:instrText>
            </w:r>
            <w:r w:rsidR="00473914">
              <w:rPr>
                <w:noProof/>
                <w:webHidden/>
              </w:rPr>
            </w:r>
            <w:r w:rsidR="00473914">
              <w:rPr>
                <w:noProof/>
                <w:webHidden/>
              </w:rPr>
              <w:fldChar w:fldCharType="separate"/>
            </w:r>
            <w:r w:rsidR="00473914">
              <w:rPr>
                <w:noProof/>
                <w:webHidden/>
              </w:rPr>
              <w:t>22</w:t>
            </w:r>
            <w:r w:rsidR="00473914">
              <w:rPr>
                <w:noProof/>
                <w:webHidden/>
              </w:rPr>
              <w:fldChar w:fldCharType="end"/>
            </w:r>
          </w:hyperlink>
        </w:p>
        <w:p w14:paraId="636527FC" w14:textId="32E5A9E9" w:rsidR="003F70F2" w:rsidRPr="00A5344E" w:rsidRDefault="0038719B" w:rsidP="00E479C7">
          <w:pPr>
            <w:rPr>
              <w:rFonts w:asciiTheme="majorHAnsi" w:hAnsiTheme="majorHAnsi" w:cstheme="majorHAnsi"/>
              <w:b/>
            </w:rPr>
          </w:pPr>
          <w:r w:rsidRPr="00A5344E">
            <w:rPr>
              <w:rFonts w:asciiTheme="majorHAnsi" w:hAnsiTheme="majorHAnsi" w:cstheme="majorHAnsi"/>
              <w:b/>
            </w:rPr>
            <w:fldChar w:fldCharType="end"/>
          </w:r>
        </w:p>
      </w:sdtContent>
    </w:sdt>
    <w:p w14:paraId="0EB9BA38" w14:textId="77777777" w:rsidR="004E4BBE" w:rsidRPr="00A5344E" w:rsidRDefault="004E4BBE" w:rsidP="003F70F2">
      <w:pPr>
        <w:rPr>
          <w:rFonts w:asciiTheme="majorHAnsi" w:hAnsiTheme="majorHAnsi" w:cstheme="majorHAnsi"/>
        </w:rPr>
      </w:pPr>
    </w:p>
    <w:p w14:paraId="28CFBFB9" w14:textId="77777777" w:rsidR="004E4BBE" w:rsidRPr="00A5344E" w:rsidRDefault="004E4BBE" w:rsidP="003F70F2">
      <w:pPr>
        <w:rPr>
          <w:rFonts w:asciiTheme="majorHAnsi" w:hAnsiTheme="majorHAnsi" w:cstheme="majorHAnsi"/>
        </w:rPr>
      </w:pPr>
    </w:p>
    <w:p w14:paraId="0B449BD7" w14:textId="186257CE" w:rsidR="004E4BBE" w:rsidRPr="00A5344E" w:rsidRDefault="004E4BBE" w:rsidP="004E4BBE">
      <w:pPr>
        <w:rPr>
          <w:rFonts w:asciiTheme="majorHAnsi" w:hAnsiTheme="majorHAnsi" w:cstheme="majorHAnsi"/>
        </w:rPr>
      </w:pPr>
      <w:r>
        <w:rPr>
          <w:rFonts w:asciiTheme="majorHAnsi" w:hAnsiTheme="majorHAnsi"/>
          <w:b/>
        </w:rPr>
        <w:t>L’essentiel en bref</w:t>
      </w:r>
    </w:p>
    <w:p w14:paraId="621B3961" w14:textId="08335A37" w:rsidR="004E4BBE" w:rsidRPr="00A5344E" w:rsidRDefault="000E40A9" w:rsidP="004E4BBE">
      <w:pPr>
        <w:rPr>
          <w:rFonts w:asciiTheme="majorHAnsi" w:hAnsiTheme="majorHAnsi" w:cstheme="majorHAnsi"/>
        </w:rPr>
      </w:pPr>
      <w:r>
        <w:rPr>
          <w:rFonts w:asciiTheme="majorHAnsi" w:hAnsiTheme="majorHAnsi"/>
        </w:rPr>
        <w:t>La loi du 27 novembre 2000 sur la péréquation financière et la compensation des charges (LPFC ; RSB 631.1)</w:t>
      </w:r>
    </w:p>
    <w:p w14:paraId="497539DF" w14:textId="4C1DBD7F" w:rsidR="004E4BBE" w:rsidRPr="00A5344E" w:rsidRDefault="004E4BBE" w:rsidP="004E4BBE">
      <w:pPr>
        <w:pStyle w:val="Aufzhlungszeichen"/>
        <w:contextualSpacing w:val="0"/>
        <w:rPr>
          <w:rFonts w:asciiTheme="majorHAnsi" w:hAnsiTheme="majorHAnsi" w:cstheme="majorHAnsi"/>
        </w:rPr>
      </w:pPr>
      <w:r>
        <w:rPr>
          <w:rFonts w:asciiTheme="majorHAnsi" w:hAnsiTheme="majorHAnsi"/>
        </w:rPr>
        <w:t>a pour but d’atténuer les inégalités résultant des différences de capacité financière et de charges entre les communes et</w:t>
      </w:r>
    </w:p>
    <w:p w14:paraId="3139EE9D" w14:textId="0288E90B" w:rsidR="004E4BBE" w:rsidRPr="00A5344E" w:rsidRDefault="004E4BBE" w:rsidP="004E4BBE">
      <w:pPr>
        <w:pStyle w:val="Aufzhlungszeichen"/>
        <w:contextualSpacing w:val="0"/>
        <w:rPr>
          <w:rFonts w:asciiTheme="majorHAnsi" w:hAnsiTheme="majorHAnsi" w:cstheme="majorHAnsi"/>
        </w:rPr>
      </w:pPr>
      <w:r>
        <w:rPr>
          <w:rFonts w:asciiTheme="majorHAnsi" w:hAnsiTheme="majorHAnsi"/>
        </w:rPr>
        <w:t>tend à équilibrer la charge fiscale.</w:t>
      </w:r>
    </w:p>
    <w:p w14:paraId="1683C545" w14:textId="77777777" w:rsidR="004E4BBE" w:rsidRPr="00A5344E" w:rsidRDefault="004E4BBE" w:rsidP="004E4BBE">
      <w:pPr>
        <w:rPr>
          <w:rFonts w:asciiTheme="majorHAnsi" w:hAnsiTheme="majorHAnsi" w:cstheme="majorHAnsi"/>
        </w:rPr>
      </w:pPr>
    </w:p>
    <w:p w14:paraId="5FD2644B" w14:textId="309C47BC" w:rsidR="004E4BBE" w:rsidRPr="00A5344E" w:rsidRDefault="000E40A9" w:rsidP="003F70F2">
      <w:pPr>
        <w:rPr>
          <w:rFonts w:asciiTheme="majorHAnsi" w:hAnsiTheme="majorHAnsi" w:cstheme="majorHAnsi"/>
        </w:rPr>
      </w:pPr>
      <w:r>
        <w:rPr>
          <w:rFonts w:asciiTheme="majorHAnsi" w:hAnsiTheme="majorHAnsi"/>
        </w:rPr>
        <w:t>Les résultats 2024 de l’analyse permanente des effets de la LPFC montrent que ces deux objectifs ont globalement été atteints sur la période 2020 à 2024. L’Administration des finances estime en conséquence qu’il n’y a pour l’instant pas lieu que le Conseil-exécutif affine les instruments de la LPFC.</w:t>
      </w:r>
    </w:p>
    <w:p w14:paraId="7EF5A0DC" w14:textId="77777777" w:rsidR="00984F56" w:rsidRPr="00A5344E" w:rsidRDefault="00984F56" w:rsidP="003F70F2">
      <w:pPr>
        <w:rPr>
          <w:rFonts w:asciiTheme="majorHAnsi" w:hAnsiTheme="majorHAnsi" w:cstheme="majorHAnsi"/>
        </w:rPr>
      </w:pPr>
    </w:p>
    <w:p w14:paraId="586A574B" w14:textId="42FF865D" w:rsidR="004E4BBE" w:rsidRPr="00A5344E" w:rsidRDefault="0038719B" w:rsidP="003F70F2">
      <w:pPr>
        <w:rPr>
          <w:rFonts w:asciiTheme="majorHAnsi" w:hAnsiTheme="majorHAnsi" w:cstheme="majorHAnsi"/>
        </w:rPr>
      </w:pPr>
      <w:r>
        <w:br w:type="page"/>
      </w:r>
    </w:p>
    <w:p w14:paraId="6DF3836C" w14:textId="77777777" w:rsidR="004E4BBE" w:rsidRPr="00A5344E" w:rsidRDefault="004E4BBE" w:rsidP="004E4BBE">
      <w:pPr>
        <w:pStyle w:val="H1"/>
        <w:rPr>
          <w:rFonts w:cstheme="majorHAnsi"/>
        </w:rPr>
      </w:pPr>
      <w:bookmarkStart w:id="1" w:name="_Toc196227236"/>
      <w:bookmarkStart w:id="2" w:name="_Toc14859777"/>
      <w:r>
        <w:lastRenderedPageBreak/>
        <w:t>Analyse permanente - résultats de 2024</w:t>
      </w:r>
      <w:bookmarkEnd w:id="1"/>
    </w:p>
    <w:p w14:paraId="78EC5949" w14:textId="77777777" w:rsidR="004E4BBE" w:rsidRPr="00A5344E" w:rsidRDefault="004E4BBE" w:rsidP="004E4BBE">
      <w:pPr>
        <w:pStyle w:val="berschrift2nummeriert"/>
        <w:rPr>
          <w:rFonts w:cstheme="majorHAnsi"/>
        </w:rPr>
      </w:pPr>
      <w:bookmarkStart w:id="3" w:name="_Toc196227237"/>
      <w:r>
        <w:t>Contexte</w:t>
      </w:r>
      <w:bookmarkEnd w:id="3"/>
    </w:p>
    <w:p w14:paraId="271B2F4E" w14:textId="0F6B70A8" w:rsidR="004E4BBE" w:rsidRPr="00D34538" w:rsidRDefault="004E4BBE" w:rsidP="00D34538">
      <w:pPr>
        <w:pStyle w:val="Textkrper"/>
        <w:spacing w:line="270" w:lineRule="atLeast"/>
        <w:rPr>
          <w:rFonts w:asciiTheme="majorHAnsi" w:hAnsiTheme="majorHAnsi" w:cstheme="majorHAnsi"/>
        </w:rPr>
      </w:pPr>
      <w:r>
        <w:rPr>
          <w:rFonts w:asciiTheme="majorHAnsi" w:hAnsiTheme="majorHAnsi"/>
        </w:rPr>
        <w:t xml:space="preserve">La loi sur la péréquation financière et la compensation des charges (LPFC) a pour but d’atténuer les inégalités résultant des différences de capacité financière et de charges entre les communes et tend à équilibrer la charge fiscale (art. 1 LPFC). L’ensemble des bases légales en la matière est en ligne sur le </w:t>
      </w:r>
      <w:hyperlink r:id="rId8" w:history="1">
        <w:r>
          <w:rPr>
            <w:rStyle w:val="Hyperlink"/>
            <w:rFonts w:asciiTheme="majorHAnsi" w:hAnsiTheme="majorHAnsi"/>
          </w:rPr>
          <w:t>site Internet de la Direction des finances</w:t>
        </w:r>
      </w:hyperlink>
      <w:r>
        <w:rPr>
          <w:rFonts w:asciiTheme="majorHAnsi" w:hAnsiTheme="majorHAnsi"/>
        </w:rPr>
        <w:t> ; l’annexe 1 en fournit en outre un condensé, accompagné d’informations complémentaires.</w:t>
      </w:r>
    </w:p>
    <w:p w14:paraId="231E4EBF" w14:textId="77777777" w:rsidR="008270AB" w:rsidRPr="00D34538" w:rsidRDefault="008270AB" w:rsidP="00D34538">
      <w:pPr>
        <w:pStyle w:val="Textkrper"/>
        <w:spacing w:line="270" w:lineRule="atLeast"/>
        <w:rPr>
          <w:rFonts w:asciiTheme="majorHAnsi" w:hAnsiTheme="majorHAnsi" w:cstheme="majorHAnsi"/>
          <w:lang w:val="de-CH"/>
        </w:rPr>
      </w:pPr>
    </w:p>
    <w:p w14:paraId="58F2912F" w14:textId="77777777" w:rsidR="004E4BBE" w:rsidRPr="00D34538" w:rsidRDefault="004E4BBE" w:rsidP="00D34538">
      <w:pPr>
        <w:pStyle w:val="Textkrper"/>
        <w:spacing w:line="270" w:lineRule="atLeast"/>
        <w:rPr>
          <w:rFonts w:asciiTheme="majorHAnsi" w:hAnsiTheme="majorHAnsi" w:cstheme="majorHAnsi"/>
        </w:rPr>
      </w:pPr>
      <w:r>
        <w:rPr>
          <w:rFonts w:asciiTheme="majorHAnsi" w:hAnsiTheme="majorHAnsi"/>
        </w:rPr>
        <w:t>Les objectifs de l’analyse permanente de l’efficacité de la LPFC sont les suivants :</w:t>
      </w:r>
    </w:p>
    <w:p w14:paraId="6CB8ADB6" w14:textId="77777777" w:rsidR="004E4BBE" w:rsidRPr="00D34538" w:rsidRDefault="004E4BBE" w:rsidP="00D34538">
      <w:pPr>
        <w:pStyle w:val="Aufzhlungszeichen"/>
        <w:contextualSpacing w:val="0"/>
        <w:rPr>
          <w:rFonts w:asciiTheme="majorHAnsi" w:hAnsiTheme="majorHAnsi" w:cstheme="majorHAnsi"/>
          <w:szCs w:val="21"/>
        </w:rPr>
      </w:pPr>
      <w:r>
        <w:rPr>
          <w:rFonts w:asciiTheme="majorHAnsi" w:hAnsiTheme="majorHAnsi"/>
        </w:rPr>
        <w:t>Fournir les éléments nécessaires à un monitoring communal permettant l’analyser l’efficacité et les résultats de la LPFC en continu.</w:t>
      </w:r>
    </w:p>
    <w:p w14:paraId="03ECFFB4" w14:textId="77777777" w:rsidR="004E4BBE" w:rsidRPr="00D34538" w:rsidRDefault="004E4BBE" w:rsidP="00D34538">
      <w:pPr>
        <w:pStyle w:val="Aufzhlungszeichen"/>
        <w:contextualSpacing w:val="0"/>
        <w:rPr>
          <w:rFonts w:asciiTheme="majorHAnsi" w:hAnsiTheme="majorHAnsi" w:cstheme="majorHAnsi"/>
          <w:szCs w:val="21"/>
        </w:rPr>
      </w:pPr>
      <w:r>
        <w:rPr>
          <w:rFonts w:asciiTheme="majorHAnsi" w:hAnsiTheme="majorHAnsi"/>
        </w:rPr>
        <w:t>Observer continuellement l’impact de la péréquation financière et de la compensation des charges sur les finances communales.</w:t>
      </w:r>
    </w:p>
    <w:p w14:paraId="361A551D" w14:textId="4FC59602" w:rsidR="004E4BBE" w:rsidRPr="00D34538" w:rsidRDefault="004E4BBE" w:rsidP="00D34538">
      <w:pPr>
        <w:pStyle w:val="Aufzhlungszeichen"/>
        <w:contextualSpacing w:val="0"/>
        <w:rPr>
          <w:rFonts w:asciiTheme="majorHAnsi" w:hAnsiTheme="majorHAnsi" w:cstheme="majorHAnsi"/>
          <w:szCs w:val="21"/>
        </w:rPr>
      </w:pPr>
      <w:r>
        <w:rPr>
          <w:rFonts w:asciiTheme="majorHAnsi" w:hAnsiTheme="majorHAnsi"/>
        </w:rPr>
        <w:t>Fournir des éléments permettant au Conseil-exécutif d’affiner la péréquation financière (réduction des disparités et dotation minimale) ainsi que les mesures en faveur des communes supportant des charges particulièrement lourdes dans le cadre des fourchettes de valeurs fixées par la LPFC.</w:t>
      </w:r>
    </w:p>
    <w:p w14:paraId="46D64D43" w14:textId="77777777" w:rsidR="004E4BBE" w:rsidRPr="00D34538" w:rsidRDefault="004E4BBE" w:rsidP="00D34538">
      <w:pPr>
        <w:pStyle w:val="Aufzhlungszeichen"/>
        <w:numPr>
          <w:ilvl w:val="0"/>
          <w:numId w:val="0"/>
        </w:numPr>
        <w:contextualSpacing w:val="0"/>
        <w:rPr>
          <w:rFonts w:asciiTheme="majorHAnsi" w:hAnsiTheme="majorHAnsi" w:cstheme="majorHAnsi"/>
          <w:szCs w:val="21"/>
        </w:rPr>
      </w:pPr>
    </w:p>
    <w:p w14:paraId="58E6413B" w14:textId="3586532E" w:rsidR="004E4BBE" w:rsidRPr="00D34538" w:rsidRDefault="004E4BBE" w:rsidP="00D34538">
      <w:pPr>
        <w:pStyle w:val="Textkrper"/>
        <w:spacing w:line="270" w:lineRule="atLeast"/>
        <w:rPr>
          <w:rFonts w:asciiTheme="majorHAnsi" w:hAnsiTheme="majorHAnsi" w:cstheme="majorHAnsi"/>
        </w:rPr>
      </w:pPr>
      <w:r>
        <w:rPr>
          <w:rFonts w:asciiTheme="majorHAnsi" w:hAnsiTheme="majorHAnsi"/>
        </w:rPr>
        <w:t>La présente analyse</w:t>
      </w:r>
      <w:bookmarkStart w:id="4" w:name="_Toc181802745"/>
      <w:bookmarkStart w:id="5" w:name="_Toc181802789"/>
      <w:bookmarkEnd w:id="4"/>
      <w:bookmarkEnd w:id="5"/>
      <w:r>
        <w:rPr>
          <w:rFonts w:asciiTheme="majorHAnsi" w:hAnsiTheme="majorHAnsi"/>
        </w:rPr>
        <w:t xml:space="preserve"> a été réalisée sur la base d’une compilation des principaux flux financiers liés à la péréquation financière et à la compensation des charges. Les effets de la péréquation financière et de la compensation des charges ont été établis pour chaque commune et saisis dans une banque de données Excel. Ils ont été analysés sur la période 2020 à 2024 (5 ans).</w:t>
      </w:r>
    </w:p>
    <w:p w14:paraId="70B7F713" w14:textId="77777777" w:rsidR="004E4BBE" w:rsidRPr="00A5344E" w:rsidRDefault="004E4BBE" w:rsidP="004E4BBE">
      <w:pPr>
        <w:pStyle w:val="berschrift2nummeriert"/>
        <w:rPr>
          <w:rFonts w:cstheme="majorHAnsi"/>
        </w:rPr>
      </w:pPr>
      <w:bookmarkStart w:id="6" w:name="_Toc196227238"/>
      <w:r>
        <w:t>Structure de ce rapport</w:t>
      </w:r>
      <w:bookmarkEnd w:id="6"/>
    </w:p>
    <w:p w14:paraId="49BCF0EF" w14:textId="7DE6396A" w:rsidR="004E4BBE" w:rsidRPr="00A5344E" w:rsidRDefault="004E4BBE" w:rsidP="004E4BBE">
      <w:pPr>
        <w:rPr>
          <w:rFonts w:asciiTheme="majorHAnsi" w:hAnsiTheme="majorHAnsi" w:cstheme="majorHAnsi"/>
        </w:rPr>
      </w:pPr>
      <w:r>
        <w:rPr>
          <w:rFonts w:asciiTheme="majorHAnsi" w:hAnsiTheme="majorHAnsi"/>
        </w:rPr>
        <w:t xml:space="preserve">Le chapitre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_Ref185250143 \r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3</w:t>
      </w:r>
      <w:r w:rsidR="00D21982" w:rsidRPr="00A5344E">
        <w:rPr>
          <w:rFonts w:asciiTheme="majorHAnsi" w:hAnsiTheme="majorHAnsi" w:cstheme="majorHAnsi"/>
        </w:rPr>
        <w:fldChar w:fldCharType="end"/>
      </w:r>
      <w:r>
        <w:rPr>
          <w:rFonts w:asciiTheme="majorHAnsi" w:hAnsiTheme="majorHAnsi"/>
        </w:rPr>
        <w:t xml:space="preserve"> présente l’évolution des charges communales liées aux instruments de la LPFC. Il indique lesquelles ont diminué ou augmenté, toutes communes confondues. Les parties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_Ref185250249 \r \h </w:instrText>
      </w:r>
      <w:r w:rsid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4.1</w:t>
      </w:r>
      <w:r w:rsidR="00D21982" w:rsidRPr="00A5344E">
        <w:rPr>
          <w:rFonts w:asciiTheme="majorHAnsi" w:hAnsiTheme="majorHAnsi" w:cstheme="majorHAnsi"/>
        </w:rPr>
        <w:fldChar w:fldCharType="end"/>
      </w:r>
      <w:r>
        <w:rPr>
          <w:rFonts w:asciiTheme="majorHAnsi" w:hAnsiTheme="majorHAnsi"/>
        </w:rPr>
        <w:t xml:space="preserve"> à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_Ref185250267 \r \h </w:instrText>
      </w:r>
      <w:r w:rsid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4.4</w:t>
      </w:r>
      <w:r w:rsidR="00D21982" w:rsidRPr="00A5344E">
        <w:rPr>
          <w:rFonts w:asciiTheme="majorHAnsi" w:hAnsiTheme="majorHAnsi" w:cstheme="majorHAnsi"/>
        </w:rPr>
        <w:fldChar w:fldCharType="end"/>
      </w:r>
      <w:r w:rsidR="00170455">
        <w:rPr>
          <w:rFonts w:asciiTheme="majorHAnsi" w:hAnsiTheme="majorHAnsi" w:cstheme="majorHAnsi"/>
        </w:rPr>
        <w:t xml:space="preserve"> </w:t>
      </w:r>
      <w:r>
        <w:rPr>
          <w:rFonts w:asciiTheme="majorHAnsi" w:hAnsiTheme="majorHAnsi"/>
        </w:rPr>
        <w:t xml:space="preserve">montrent ensuite l’impact des instruments de la LPFC sur les charges de diverses catégories de communes. Les parties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_Ref185250193 \r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4.5</w:t>
      </w:r>
      <w:r w:rsidR="00D21982" w:rsidRPr="00A5344E">
        <w:rPr>
          <w:rFonts w:asciiTheme="majorHAnsi" w:hAnsiTheme="majorHAnsi" w:cstheme="majorHAnsi"/>
        </w:rPr>
        <w:fldChar w:fldCharType="end"/>
      </w:r>
      <w:r w:rsidR="00170455">
        <w:rPr>
          <w:rFonts w:asciiTheme="majorHAnsi" w:hAnsiTheme="majorHAnsi" w:cstheme="majorHAnsi"/>
        </w:rPr>
        <w:t xml:space="preserve"> </w:t>
      </w:r>
      <w:r>
        <w:rPr>
          <w:rFonts w:asciiTheme="majorHAnsi" w:hAnsiTheme="majorHAnsi"/>
        </w:rPr>
        <w:t xml:space="preserve">et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_Ref185250197 \r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4.6</w:t>
      </w:r>
      <w:r w:rsidR="00D21982" w:rsidRPr="00A5344E">
        <w:rPr>
          <w:rFonts w:asciiTheme="majorHAnsi" w:hAnsiTheme="majorHAnsi" w:cstheme="majorHAnsi"/>
        </w:rPr>
        <w:fldChar w:fldCharType="end"/>
      </w:r>
      <w:r>
        <w:rPr>
          <w:rFonts w:asciiTheme="majorHAnsi" w:hAnsiTheme="majorHAnsi"/>
        </w:rPr>
        <w:t xml:space="preserve"> exposent et analysent l’évolution des quotités d’impôt et des rentrées fiscales communales. Enfin, la partie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_Ref185250214 \r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4.7</w:t>
      </w:r>
      <w:r w:rsidR="00D21982" w:rsidRPr="00A5344E">
        <w:rPr>
          <w:rFonts w:asciiTheme="majorHAnsi" w:hAnsiTheme="majorHAnsi" w:cstheme="majorHAnsi"/>
        </w:rPr>
        <w:fldChar w:fldCharType="end"/>
      </w:r>
      <w:r>
        <w:rPr>
          <w:rFonts w:asciiTheme="majorHAnsi" w:hAnsiTheme="majorHAnsi"/>
        </w:rPr>
        <w:t xml:space="preserve"> présente succinctement les résultats comptables des communes pour 2024.</w:t>
      </w:r>
    </w:p>
    <w:p w14:paraId="6C72BFF5" w14:textId="77777777" w:rsidR="00827FD3" w:rsidRPr="00A5344E" w:rsidRDefault="00827FD3" w:rsidP="004E4BBE">
      <w:pPr>
        <w:rPr>
          <w:rFonts w:asciiTheme="majorHAnsi" w:hAnsiTheme="majorHAnsi" w:cstheme="majorHAnsi"/>
        </w:rPr>
      </w:pPr>
    </w:p>
    <w:p w14:paraId="3449DCBF" w14:textId="222DC673" w:rsidR="00984F56" w:rsidRPr="00A5344E" w:rsidRDefault="00984F56" w:rsidP="00D34538">
      <w:pPr>
        <w:rPr>
          <w:rFonts w:asciiTheme="majorHAnsi" w:hAnsiTheme="majorHAnsi" w:cstheme="majorHAnsi"/>
        </w:rPr>
      </w:pPr>
      <w:r>
        <w:br w:type="page"/>
      </w:r>
    </w:p>
    <w:p w14:paraId="0A802BEF" w14:textId="77777777" w:rsidR="004E4BBE" w:rsidRPr="00A5344E" w:rsidRDefault="004E4BBE" w:rsidP="004E4BBE">
      <w:pPr>
        <w:pStyle w:val="H1"/>
        <w:rPr>
          <w:rFonts w:cstheme="majorHAnsi"/>
        </w:rPr>
      </w:pPr>
      <w:bookmarkStart w:id="7" w:name="_Toc196227239"/>
      <w:r>
        <w:lastRenderedPageBreak/>
        <w:t>Péréquation financière</w:t>
      </w:r>
      <w:bookmarkEnd w:id="7"/>
    </w:p>
    <w:p w14:paraId="14AB3CF7" w14:textId="09B2029D" w:rsidR="004E4BBE" w:rsidRPr="00A5344E" w:rsidRDefault="004E4BBE" w:rsidP="004E4BBE">
      <w:pPr>
        <w:rPr>
          <w:rFonts w:asciiTheme="majorHAnsi" w:hAnsiTheme="majorHAnsi" w:cstheme="majorHAnsi"/>
        </w:rPr>
      </w:pPr>
      <w:r>
        <w:rPr>
          <w:rFonts w:asciiTheme="majorHAnsi" w:hAnsiTheme="majorHAnsi"/>
        </w:rPr>
        <w:t>L’</w:t>
      </w:r>
      <w:r w:rsidR="00D21982" w:rsidRPr="00861B94">
        <w:rPr>
          <w:rFonts w:asciiTheme="majorHAnsi" w:hAnsiTheme="majorHAnsi" w:cstheme="majorHAnsi"/>
        </w:rPr>
        <w:fldChar w:fldCharType="begin"/>
      </w:r>
      <w:r w:rsidR="00D21982" w:rsidRPr="00861B94">
        <w:rPr>
          <w:rFonts w:asciiTheme="majorHAnsi" w:hAnsiTheme="majorHAnsi" w:cstheme="majorHAnsi"/>
        </w:rPr>
        <w:instrText xml:space="preserve"> REF _Ref183413682 \h </w:instrText>
      </w:r>
      <w:r w:rsidR="00984F56" w:rsidRPr="00861B94">
        <w:rPr>
          <w:rFonts w:asciiTheme="majorHAnsi" w:hAnsiTheme="majorHAnsi" w:cstheme="majorHAnsi"/>
        </w:rPr>
        <w:instrText xml:space="preserve"> \* </w:instrText>
      </w:r>
      <w:r w:rsidR="00170455" w:rsidRPr="00861B94">
        <w:rPr>
          <w:rFonts w:asciiTheme="majorHAnsi" w:hAnsiTheme="majorHAnsi" w:cstheme="majorHAnsi"/>
        </w:rPr>
        <w:instrText>Lower</w:instrText>
      </w:r>
      <w:r w:rsidR="00984F56" w:rsidRPr="00861B94">
        <w:rPr>
          <w:rFonts w:asciiTheme="majorHAnsi" w:hAnsiTheme="majorHAnsi" w:cstheme="majorHAnsi"/>
        </w:rPr>
        <w:instrText xml:space="preserve"> </w:instrText>
      </w:r>
      <w:r w:rsidR="00861B94" w:rsidRPr="00861B94">
        <w:rPr>
          <w:rFonts w:asciiTheme="majorHAnsi" w:hAnsiTheme="majorHAnsi" w:cstheme="majorHAnsi"/>
        </w:rPr>
        <w:instrText xml:space="preserve"> </w:instrText>
      </w:r>
      <w:r w:rsidR="00473914" w:rsidRPr="00473914">
        <w:rPr>
          <w:rFonts w:asciiTheme="majorHAnsi" w:hAnsiTheme="majorHAnsi" w:cstheme="majorHAnsi"/>
        </w:rPr>
        <w:instrText>\* charformat</w:instrText>
      </w:r>
      <w:r w:rsidR="00861B94" w:rsidRPr="00861B94">
        <w:rPr>
          <w:rFonts w:asciiTheme="majorHAnsi" w:hAnsiTheme="majorHAnsi" w:cstheme="majorHAnsi"/>
        </w:rPr>
        <w:instrText xml:space="preserve"> </w:instrText>
      </w:r>
      <w:r w:rsidR="00D21982" w:rsidRPr="00861B94">
        <w:rPr>
          <w:rFonts w:asciiTheme="majorHAnsi" w:hAnsiTheme="majorHAnsi" w:cstheme="majorHAnsi"/>
        </w:rPr>
      </w:r>
      <w:r w:rsidR="00D21982" w:rsidRPr="00861B94">
        <w:rPr>
          <w:rFonts w:asciiTheme="majorHAnsi" w:hAnsiTheme="majorHAnsi" w:cstheme="majorHAnsi"/>
        </w:rPr>
        <w:fldChar w:fldCharType="separate"/>
      </w:r>
      <w:r w:rsidR="00473914" w:rsidRPr="00473914">
        <w:rPr>
          <w:rFonts w:asciiTheme="majorHAnsi" w:hAnsiTheme="majorHAnsi" w:cstheme="majorHAnsi"/>
        </w:rPr>
        <w:t>illustration 1</w:t>
      </w:r>
      <w:r w:rsidR="00D21982" w:rsidRPr="00861B94">
        <w:rPr>
          <w:rFonts w:asciiTheme="majorHAnsi" w:hAnsiTheme="majorHAnsi" w:cstheme="majorHAnsi"/>
        </w:rPr>
        <w:fldChar w:fldCharType="end"/>
      </w:r>
      <w:r>
        <w:rPr>
          <w:rFonts w:asciiTheme="majorHAnsi" w:hAnsiTheme="majorHAnsi"/>
        </w:rPr>
        <w:t xml:space="preserve"> indique ce que le canton a versé aux communes de 2020 à 2024.</w:t>
      </w:r>
    </w:p>
    <w:p w14:paraId="056A335A" w14:textId="77777777" w:rsidR="00984F56" w:rsidRPr="00A5344E" w:rsidRDefault="00984F56" w:rsidP="004E4BBE">
      <w:pPr>
        <w:rPr>
          <w:rFonts w:asciiTheme="majorHAnsi" w:hAnsiTheme="majorHAnsi" w:cstheme="majorHAnsi"/>
        </w:rPr>
      </w:pPr>
    </w:p>
    <w:p w14:paraId="42E68CB0" w14:textId="0A98B6B9" w:rsidR="007732EE" w:rsidRPr="00A5344E" w:rsidRDefault="004E4BBE" w:rsidP="007732EE">
      <w:pPr>
        <w:pStyle w:val="Beschriftung"/>
        <w:keepNext/>
        <w:ind w:left="1418" w:hanging="1418"/>
        <w:rPr>
          <w:rFonts w:asciiTheme="majorHAnsi" w:hAnsiTheme="majorHAnsi" w:cstheme="majorHAnsi"/>
          <w:b/>
          <w:bCs w:val="0"/>
        </w:rPr>
      </w:pPr>
      <w:bookmarkStart w:id="8" w:name="_Ref183413682"/>
      <w:r>
        <w:rPr>
          <w:rFonts w:asciiTheme="majorHAnsi" w:hAnsiTheme="majorHAnsi"/>
          <w:b/>
        </w:rPr>
        <w:t>Illustration</w:t>
      </w:r>
      <w:r w:rsidR="00473914">
        <w:rPr>
          <w:rFonts w:asciiTheme="majorHAnsi" w:hAnsiTheme="majorHAnsi"/>
          <w:b/>
        </w:rPr>
        <w:t xml:space="preserve"> </w:t>
      </w:r>
      <w:r w:rsidR="007732EE" w:rsidRPr="00A5344E">
        <w:rPr>
          <w:rFonts w:asciiTheme="majorHAnsi" w:hAnsiTheme="majorHAnsi" w:cstheme="majorHAnsi"/>
          <w:b/>
        </w:rPr>
        <w:fldChar w:fldCharType="begin"/>
      </w:r>
      <w:r w:rsidR="007732EE" w:rsidRPr="00A5344E">
        <w:rPr>
          <w:rFonts w:asciiTheme="majorHAnsi" w:hAnsiTheme="majorHAnsi" w:cstheme="majorHAnsi"/>
          <w:b/>
        </w:rPr>
        <w:instrText xml:space="preserve"> SEQ Abbildung \* ARABIC </w:instrText>
      </w:r>
      <w:r w:rsidR="007732EE" w:rsidRPr="00A5344E">
        <w:rPr>
          <w:rFonts w:asciiTheme="majorHAnsi" w:hAnsiTheme="majorHAnsi" w:cstheme="majorHAnsi"/>
          <w:b/>
        </w:rPr>
        <w:fldChar w:fldCharType="separate"/>
      </w:r>
      <w:r w:rsidR="00A513C6" w:rsidRPr="00A5344E">
        <w:rPr>
          <w:rFonts w:asciiTheme="majorHAnsi" w:hAnsiTheme="majorHAnsi" w:cstheme="majorHAnsi"/>
          <w:b/>
        </w:rPr>
        <w:t>1</w:t>
      </w:r>
      <w:r w:rsidR="007732EE" w:rsidRPr="00A5344E">
        <w:rPr>
          <w:rFonts w:asciiTheme="majorHAnsi" w:hAnsiTheme="majorHAnsi" w:cstheme="majorHAnsi"/>
          <w:b/>
        </w:rPr>
        <w:fldChar w:fldCharType="end"/>
      </w:r>
      <w:bookmarkEnd w:id="8"/>
      <w:r>
        <w:rPr>
          <w:rFonts w:asciiTheme="majorHAnsi" w:hAnsiTheme="majorHAnsi"/>
          <w:b/>
        </w:rPr>
        <w:t> :</w:t>
      </w:r>
      <w:bookmarkStart w:id="9" w:name="_Hlk183418893"/>
      <w:r>
        <w:rPr>
          <w:rFonts w:asciiTheme="majorHAnsi" w:hAnsiTheme="majorHAnsi"/>
          <w:b/>
        </w:rPr>
        <w:tab/>
        <w:t>Péréquation financière et mesures en faveur des communes supportant des charges particulièrement lourdes (2020-2024) – versements du canton aux communes (en CHF)</w:t>
      </w:r>
      <w:bookmarkEnd w:id="9"/>
    </w:p>
    <w:tbl>
      <w:tblPr>
        <w:tblStyle w:val="Ecoplankombi"/>
        <w:tblW w:w="5000" w:type="pct"/>
        <w:tblLayout w:type="fixed"/>
        <w:tblLook w:val="04A0" w:firstRow="1" w:lastRow="0" w:firstColumn="1" w:lastColumn="0" w:noHBand="0" w:noVBand="1"/>
      </w:tblPr>
      <w:tblGrid>
        <w:gridCol w:w="3539"/>
        <w:gridCol w:w="1745"/>
        <w:gridCol w:w="1139"/>
        <w:gridCol w:w="1139"/>
        <w:gridCol w:w="1139"/>
        <w:gridCol w:w="1137"/>
      </w:tblGrid>
      <w:tr w:rsidR="004E4BBE" w:rsidRPr="00A5344E" w14:paraId="66D346DB" w14:textId="77777777" w:rsidTr="001441EF">
        <w:trPr>
          <w:cnfStyle w:val="100000000000" w:firstRow="1" w:lastRow="0" w:firstColumn="0" w:lastColumn="0" w:oddVBand="0" w:evenVBand="0" w:oddHBand="0" w:evenHBand="0" w:firstRowFirstColumn="0" w:firstRowLastColumn="0" w:lastRowFirstColumn="0" w:lastRowLastColumn="0"/>
          <w:trHeight w:val="330"/>
        </w:trPr>
        <w:tc>
          <w:tcPr>
            <w:tcW w:w="1798" w:type="pct"/>
            <w:noWrap/>
            <w:hideMark/>
          </w:tcPr>
          <w:p w14:paraId="6EB9F00E" w14:textId="77777777" w:rsidR="004E4BBE" w:rsidRPr="00A5344E" w:rsidRDefault="004E4BBE" w:rsidP="004E4BBE">
            <w:pPr>
              <w:pStyle w:val="Tabellentext"/>
              <w:rPr>
                <w:rFonts w:asciiTheme="majorHAnsi" w:hAnsiTheme="majorHAnsi" w:cstheme="majorHAnsi"/>
              </w:rPr>
            </w:pPr>
            <w:r>
              <w:rPr>
                <w:rFonts w:asciiTheme="majorHAnsi" w:hAnsiTheme="majorHAnsi"/>
              </w:rPr>
              <w:t> </w:t>
            </w:r>
          </w:p>
        </w:tc>
        <w:tc>
          <w:tcPr>
            <w:tcW w:w="887" w:type="pct"/>
            <w:noWrap/>
            <w:hideMark/>
          </w:tcPr>
          <w:p w14:paraId="6E3B3D13"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2020</w:t>
            </w:r>
          </w:p>
        </w:tc>
        <w:tc>
          <w:tcPr>
            <w:tcW w:w="579" w:type="pct"/>
            <w:noWrap/>
            <w:hideMark/>
          </w:tcPr>
          <w:p w14:paraId="71A2E2A2"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2021</w:t>
            </w:r>
          </w:p>
        </w:tc>
        <w:tc>
          <w:tcPr>
            <w:tcW w:w="579" w:type="pct"/>
            <w:noWrap/>
            <w:hideMark/>
          </w:tcPr>
          <w:p w14:paraId="10DD4DE0"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2022</w:t>
            </w:r>
          </w:p>
        </w:tc>
        <w:tc>
          <w:tcPr>
            <w:tcW w:w="579" w:type="pct"/>
            <w:noWrap/>
            <w:hideMark/>
          </w:tcPr>
          <w:p w14:paraId="150148F1"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2023</w:t>
            </w:r>
          </w:p>
        </w:tc>
        <w:tc>
          <w:tcPr>
            <w:tcW w:w="578" w:type="pct"/>
            <w:noWrap/>
            <w:hideMark/>
          </w:tcPr>
          <w:p w14:paraId="6D5812B9"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2024</w:t>
            </w:r>
          </w:p>
        </w:tc>
      </w:tr>
      <w:tr w:rsidR="004E4BBE" w:rsidRPr="00A5344E" w14:paraId="7877EEA2"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798" w:type="pct"/>
            <w:noWrap/>
            <w:hideMark/>
          </w:tcPr>
          <w:p w14:paraId="2466A8E6" w14:textId="77777777" w:rsidR="00984F56" w:rsidRPr="00A5344E" w:rsidRDefault="004E4BBE" w:rsidP="004E4BBE">
            <w:pPr>
              <w:pStyle w:val="Tabellentext"/>
              <w:rPr>
                <w:rFonts w:asciiTheme="majorHAnsi" w:hAnsiTheme="majorHAnsi" w:cstheme="majorHAnsi"/>
                <w:b/>
                <w:bCs/>
              </w:rPr>
            </w:pPr>
            <w:r>
              <w:rPr>
                <w:rFonts w:asciiTheme="majorHAnsi" w:hAnsiTheme="majorHAnsi"/>
                <w:b/>
              </w:rPr>
              <w:t xml:space="preserve">Péréquation financière (dotation minimale) ; </w:t>
            </w:r>
          </w:p>
          <w:p w14:paraId="52521EF1" w14:textId="7F8B7724" w:rsidR="004E4BBE" w:rsidRPr="00A5344E" w:rsidRDefault="004E4BBE" w:rsidP="004E4BBE">
            <w:pPr>
              <w:pStyle w:val="Tabellentext"/>
              <w:rPr>
                <w:rFonts w:asciiTheme="majorHAnsi" w:hAnsiTheme="majorHAnsi" w:cstheme="majorHAnsi"/>
                <w:b/>
                <w:bCs/>
              </w:rPr>
            </w:pPr>
            <w:r>
              <w:rPr>
                <w:rFonts w:asciiTheme="majorHAnsi" w:hAnsiTheme="majorHAnsi"/>
                <w:b/>
              </w:rPr>
              <w:t>Les flux liés à la réduction des disparités s’équilibrent entre eux.</w:t>
            </w:r>
          </w:p>
        </w:tc>
        <w:tc>
          <w:tcPr>
            <w:tcW w:w="887" w:type="pct"/>
            <w:noWrap/>
            <w:hideMark/>
          </w:tcPr>
          <w:p w14:paraId="3379E628"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29 356 178</w:t>
            </w:r>
          </w:p>
        </w:tc>
        <w:tc>
          <w:tcPr>
            <w:tcW w:w="579" w:type="pct"/>
            <w:noWrap/>
            <w:hideMark/>
          </w:tcPr>
          <w:p w14:paraId="667F67DE"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30 403 597</w:t>
            </w:r>
          </w:p>
        </w:tc>
        <w:tc>
          <w:tcPr>
            <w:tcW w:w="579" w:type="pct"/>
            <w:noWrap/>
            <w:hideMark/>
          </w:tcPr>
          <w:p w14:paraId="40C09999"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29 468 417</w:t>
            </w:r>
          </w:p>
        </w:tc>
        <w:tc>
          <w:tcPr>
            <w:tcW w:w="579" w:type="pct"/>
            <w:noWrap/>
            <w:hideMark/>
          </w:tcPr>
          <w:p w14:paraId="37D15647"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31 067 841</w:t>
            </w:r>
          </w:p>
        </w:tc>
        <w:tc>
          <w:tcPr>
            <w:tcW w:w="578" w:type="pct"/>
            <w:noWrap/>
            <w:hideMark/>
          </w:tcPr>
          <w:p w14:paraId="74E7B782"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29 564 402</w:t>
            </w:r>
          </w:p>
        </w:tc>
      </w:tr>
      <w:tr w:rsidR="004E4BBE" w:rsidRPr="00A5344E" w14:paraId="46E46717"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798" w:type="pct"/>
            <w:noWrap/>
            <w:hideMark/>
          </w:tcPr>
          <w:p w14:paraId="480EA1B5"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Prestation complémentaire géo-topographique</w:t>
            </w:r>
          </w:p>
        </w:tc>
        <w:tc>
          <w:tcPr>
            <w:tcW w:w="887" w:type="pct"/>
            <w:noWrap/>
            <w:hideMark/>
          </w:tcPr>
          <w:p w14:paraId="745E79AA"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38 704 488</w:t>
            </w:r>
          </w:p>
        </w:tc>
        <w:tc>
          <w:tcPr>
            <w:tcW w:w="579" w:type="pct"/>
            <w:noWrap/>
            <w:hideMark/>
          </w:tcPr>
          <w:p w14:paraId="676E5196"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38 711 815</w:t>
            </w:r>
          </w:p>
        </w:tc>
        <w:tc>
          <w:tcPr>
            <w:tcW w:w="579" w:type="pct"/>
            <w:noWrap/>
            <w:hideMark/>
          </w:tcPr>
          <w:p w14:paraId="0E3CD7D0"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38 692 120</w:t>
            </w:r>
          </w:p>
        </w:tc>
        <w:tc>
          <w:tcPr>
            <w:tcW w:w="579" w:type="pct"/>
            <w:noWrap/>
            <w:hideMark/>
          </w:tcPr>
          <w:p w14:paraId="4F3004C1"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38 702 195</w:t>
            </w:r>
          </w:p>
        </w:tc>
        <w:tc>
          <w:tcPr>
            <w:tcW w:w="578" w:type="pct"/>
            <w:noWrap/>
            <w:hideMark/>
          </w:tcPr>
          <w:p w14:paraId="003330D1"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38 179 602</w:t>
            </w:r>
          </w:p>
        </w:tc>
      </w:tr>
      <w:tr w:rsidR="004E4BBE" w:rsidRPr="00A5344E" w14:paraId="2CB511C9"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798" w:type="pct"/>
            <w:noWrap/>
            <w:hideMark/>
          </w:tcPr>
          <w:p w14:paraId="4353BACB"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Prestation complémentaire socio-démographique</w:t>
            </w:r>
          </w:p>
        </w:tc>
        <w:tc>
          <w:tcPr>
            <w:tcW w:w="887" w:type="pct"/>
            <w:noWrap/>
            <w:hideMark/>
          </w:tcPr>
          <w:p w14:paraId="7E31D303"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14 025 000</w:t>
            </w:r>
          </w:p>
        </w:tc>
        <w:tc>
          <w:tcPr>
            <w:tcW w:w="579" w:type="pct"/>
            <w:noWrap/>
            <w:hideMark/>
          </w:tcPr>
          <w:p w14:paraId="58790F0D"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15 750 000</w:t>
            </w:r>
          </w:p>
        </w:tc>
        <w:tc>
          <w:tcPr>
            <w:tcW w:w="579" w:type="pct"/>
            <w:noWrap/>
            <w:hideMark/>
          </w:tcPr>
          <w:p w14:paraId="37435465"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16 000 000</w:t>
            </w:r>
          </w:p>
        </w:tc>
        <w:tc>
          <w:tcPr>
            <w:tcW w:w="579" w:type="pct"/>
            <w:noWrap/>
            <w:hideMark/>
          </w:tcPr>
          <w:p w14:paraId="2D096509"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16 500 000</w:t>
            </w:r>
          </w:p>
        </w:tc>
        <w:tc>
          <w:tcPr>
            <w:tcW w:w="578" w:type="pct"/>
            <w:noWrap/>
            <w:hideMark/>
          </w:tcPr>
          <w:p w14:paraId="5C75C28A"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17 000 000</w:t>
            </w:r>
          </w:p>
        </w:tc>
      </w:tr>
      <w:tr w:rsidR="004E4BBE" w:rsidRPr="00A5344E" w14:paraId="1BD3948E"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798" w:type="pct"/>
            <w:noWrap/>
            <w:hideMark/>
          </w:tcPr>
          <w:p w14:paraId="397803D8"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Indemnité forfaitaire pour charges de centre urbain (Berne, Bienne, Thoune)</w:t>
            </w:r>
          </w:p>
        </w:tc>
        <w:tc>
          <w:tcPr>
            <w:tcW w:w="887" w:type="pct"/>
            <w:noWrap/>
            <w:hideMark/>
          </w:tcPr>
          <w:p w14:paraId="4C38354F"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90 844 000</w:t>
            </w:r>
          </w:p>
        </w:tc>
        <w:tc>
          <w:tcPr>
            <w:tcW w:w="579" w:type="pct"/>
            <w:noWrap/>
            <w:hideMark/>
          </w:tcPr>
          <w:p w14:paraId="2361E840"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90 844 000</w:t>
            </w:r>
          </w:p>
        </w:tc>
        <w:tc>
          <w:tcPr>
            <w:tcW w:w="579" w:type="pct"/>
            <w:noWrap/>
            <w:hideMark/>
          </w:tcPr>
          <w:p w14:paraId="7E179CD6"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90 844 000</w:t>
            </w:r>
          </w:p>
        </w:tc>
        <w:tc>
          <w:tcPr>
            <w:tcW w:w="579" w:type="pct"/>
            <w:noWrap/>
            <w:hideMark/>
          </w:tcPr>
          <w:p w14:paraId="6AE8C9C8"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90 844 000</w:t>
            </w:r>
          </w:p>
        </w:tc>
        <w:tc>
          <w:tcPr>
            <w:tcW w:w="578" w:type="pct"/>
            <w:noWrap/>
            <w:hideMark/>
          </w:tcPr>
          <w:p w14:paraId="7F91EA39"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90 844 000</w:t>
            </w:r>
          </w:p>
        </w:tc>
      </w:tr>
      <w:tr w:rsidR="004E4BBE" w:rsidRPr="00A5344E" w14:paraId="052D03ED"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798" w:type="pct"/>
            <w:noWrap/>
            <w:hideMark/>
          </w:tcPr>
          <w:p w14:paraId="1EF6CB34"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Total</w:t>
            </w:r>
          </w:p>
        </w:tc>
        <w:tc>
          <w:tcPr>
            <w:tcW w:w="887" w:type="pct"/>
            <w:noWrap/>
            <w:hideMark/>
          </w:tcPr>
          <w:p w14:paraId="7CDE4588"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172 929 666</w:t>
            </w:r>
          </w:p>
        </w:tc>
        <w:tc>
          <w:tcPr>
            <w:tcW w:w="579" w:type="pct"/>
            <w:noWrap/>
            <w:hideMark/>
          </w:tcPr>
          <w:p w14:paraId="761E62B9"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175 709 411</w:t>
            </w:r>
          </w:p>
        </w:tc>
        <w:tc>
          <w:tcPr>
            <w:tcW w:w="579" w:type="pct"/>
            <w:noWrap/>
            <w:hideMark/>
          </w:tcPr>
          <w:p w14:paraId="06BE37D7"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175 004 537</w:t>
            </w:r>
          </w:p>
        </w:tc>
        <w:tc>
          <w:tcPr>
            <w:tcW w:w="579" w:type="pct"/>
            <w:noWrap/>
            <w:hideMark/>
          </w:tcPr>
          <w:p w14:paraId="4A70E47C"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177 114 036</w:t>
            </w:r>
          </w:p>
        </w:tc>
        <w:tc>
          <w:tcPr>
            <w:tcW w:w="578" w:type="pct"/>
            <w:noWrap/>
            <w:hideMark/>
          </w:tcPr>
          <w:p w14:paraId="67FA376B"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175 588 003</w:t>
            </w:r>
          </w:p>
        </w:tc>
      </w:tr>
    </w:tbl>
    <w:p w14:paraId="2AFC5ED6" w14:textId="29B99E2C" w:rsidR="004E4BBE" w:rsidRDefault="004E4BBE" w:rsidP="004E4BBE">
      <w:pPr>
        <w:pStyle w:val="Textkrper"/>
        <w:keepNext/>
        <w:rPr>
          <w:rFonts w:asciiTheme="majorHAnsi" w:hAnsiTheme="majorHAnsi" w:cstheme="majorHAnsi"/>
        </w:rPr>
      </w:pPr>
    </w:p>
    <w:p w14:paraId="20C8D80D" w14:textId="5FAFFB07" w:rsidR="00B7650B" w:rsidRPr="00A5344E" w:rsidRDefault="00B7650B" w:rsidP="004E4BBE">
      <w:pPr>
        <w:pStyle w:val="Textkrper"/>
        <w:keepNext/>
        <w:rPr>
          <w:rFonts w:asciiTheme="majorHAnsi" w:hAnsiTheme="majorHAnsi" w:cstheme="majorHAnsi"/>
        </w:rPr>
      </w:pPr>
      <w:r>
        <w:rPr>
          <w:rFonts w:asciiTheme="majorHAnsi" w:hAnsiTheme="majorHAnsi" w:cstheme="majorHAnsi"/>
          <w:noProof/>
        </w:rPr>
        <w:drawing>
          <wp:inline distT="0" distB="0" distL="0" distR="0" wp14:anchorId="7D3E1C1F" wp14:editId="52C9D6A2">
            <wp:extent cx="5543550" cy="3228975"/>
            <wp:effectExtent l="0" t="0" r="0" b="9525"/>
            <wp:docPr id="10126368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228975"/>
                    </a:xfrm>
                    <a:prstGeom prst="rect">
                      <a:avLst/>
                    </a:prstGeom>
                    <a:noFill/>
                  </pic:spPr>
                </pic:pic>
              </a:graphicData>
            </a:graphic>
          </wp:inline>
        </w:drawing>
      </w:r>
    </w:p>
    <w:p w14:paraId="2ECEF303" w14:textId="1CE992E3" w:rsidR="004E4BBE" w:rsidRPr="00A5344E" w:rsidRDefault="004E4BBE" w:rsidP="00B7650B">
      <w:pPr>
        <w:pStyle w:val="Quelle"/>
        <w:keepNext/>
        <w:tabs>
          <w:tab w:val="clear" w:pos="680"/>
          <w:tab w:val="left" w:pos="907"/>
        </w:tabs>
        <w:ind w:left="907" w:hanging="907"/>
        <w:rPr>
          <w:rFonts w:asciiTheme="majorHAnsi" w:hAnsiTheme="majorHAnsi" w:cstheme="majorHAnsi"/>
        </w:rPr>
      </w:pPr>
      <w:r>
        <w:rPr>
          <w:rFonts w:asciiTheme="majorHAnsi" w:hAnsiTheme="majorHAnsi"/>
        </w:rPr>
        <w:t xml:space="preserve">Remarque : </w:t>
      </w:r>
      <w:r>
        <w:rPr>
          <w:rFonts w:asciiTheme="majorHAnsi" w:hAnsiTheme="majorHAnsi"/>
        </w:rPr>
        <w:tab/>
        <w:t xml:space="preserve">ce graphique </w:t>
      </w:r>
      <w:r w:rsidR="0087725E">
        <w:rPr>
          <w:rFonts w:asciiTheme="majorHAnsi" w:hAnsiTheme="majorHAnsi"/>
        </w:rPr>
        <w:t xml:space="preserve">ne </w:t>
      </w:r>
      <w:r>
        <w:rPr>
          <w:rFonts w:asciiTheme="majorHAnsi" w:hAnsiTheme="majorHAnsi"/>
        </w:rPr>
        <w:t xml:space="preserve">présente </w:t>
      </w:r>
      <w:r w:rsidR="0087725E">
        <w:rPr>
          <w:rFonts w:asciiTheme="majorHAnsi" w:hAnsiTheme="majorHAnsi"/>
        </w:rPr>
        <w:t xml:space="preserve">que </w:t>
      </w:r>
      <w:r>
        <w:rPr>
          <w:rFonts w:asciiTheme="majorHAnsi" w:hAnsiTheme="majorHAnsi"/>
        </w:rPr>
        <w:t>le solde des charges de toutes les communes. La réduction des disparités n’apparaît pas dans la péréquation financière, puisque les flux correspondants se compensent entre eux (péréquation financière horizontale). Ceux-ci sont toutefois pris en compte dans l’analyse par catégorie de communes.</w:t>
      </w:r>
    </w:p>
    <w:p w14:paraId="1BDDA455" w14:textId="6AECF7A9" w:rsidR="004E4BBE" w:rsidRPr="006725BB" w:rsidRDefault="004E4BBE" w:rsidP="00D76B50">
      <w:pPr>
        <w:pStyle w:val="Textkrper"/>
        <w:rPr>
          <w:rFonts w:asciiTheme="majorHAnsi" w:hAnsiTheme="majorHAnsi" w:cstheme="majorHAnsi"/>
        </w:rPr>
      </w:pPr>
      <w:r>
        <w:rPr>
          <w:rFonts w:asciiTheme="majorHAnsi" w:hAnsiTheme="majorHAnsi"/>
        </w:rPr>
        <w:t>Les parties suivantes commentent chacun des différents instruments.</w:t>
      </w:r>
    </w:p>
    <w:p w14:paraId="386CF047" w14:textId="77777777" w:rsidR="004E4BBE" w:rsidRPr="00A5344E" w:rsidRDefault="004E4BBE" w:rsidP="004E4BBE">
      <w:pPr>
        <w:pStyle w:val="berschrift2nummeriert"/>
        <w:rPr>
          <w:rFonts w:cstheme="majorHAnsi"/>
        </w:rPr>
      </w:pPr>
      <w:bookmarkStart w:id="10" w:name="_Toc196227240"/>
      <w:bookmarkEnd w:id="2"/>
      <w:r>
        <w:t>Péréquation financière directe</w:t>
      </w:r>
      <w:bookmarkEnd w:id="10"/>
    </w:p>
    <w:p w14:paraId="62067E05" w14:textId="43AE3003" w:rsidR="004E4BBE" w:rsidRPr="00A5344E" w:rsidRDefault="004E4BBE" w:rsidP="00D76B50">
      <w:pPr>
        <w:rPr>
          <w:rFonts w:asciiTheme="majorHAnsi" w:hAnsiTheme="majorHAnsi" w:cstheme="majorHAnsi"/>
        </w:rPr>
      </w:pPr>
      <w:r>
        <w:rPr>
          <w:rFonts w:asciiTheme="majorHAnsi" w:hAnsiTheme="majorHAnsi"/>
        </w:rPr>
        <w:t>L’évolution de la péréquation financière directe montre qu’en 2024, le canton a versé 29,6 millions de francs environ aux communes au titre de la dotation minimale, soit 1,5 million de moins qu’en 2023. Cette baisse est principalement due à la réforme du financement de l’AVS (RFFA)</w:t>
      </w:r>
      <w:r w:rsidR="0087725E">
        <w:rPr>
          <w:rFonts w:asciiTheme="majorHAnsi" w:hAnsiTheme="majorHAnsi"/>
        </w:rPr>
        <w:t>,</w:t>
      </w:r>
      <w:r>
        <w:rPr>
          <w:rFonts w:asciiTheme="majorHAnsi" w:hAnsiTheme="majorHAnsi"/>
        </w:rPr>
        <w:t xml:space="preserve"> mise en œuvre </w:t>
      </w:r>
      <w:r>
        <w:rPr>
          <w:rFonts w:asciiTheme="majorHAnsi" w:hAnsiTheme="majorHAnsi"/>
        </w:rPr>
        <w:lastRenderedPageBreak/>
        <w:t>avec la révision 2021 de la loi sur les impôts (qui a pris effet le 1.1.2020), ainsi qu’aux nouvelles valeurs officielles fixées en 2020 dans le cadre de l’évaluation générale des immeubles et des forces hydrauliques</w:t>
      </w:r>
      <w:r w:rsidR="0087725E">
        <w:rPr>
          <w:rFonts w:asciiTheme="majorHAnsi" w:hAnsiTheme="majorHAnsi"/>
        </w:rPr>
        <w:t xml:space="preserve"> (EG20)</w:t>
      </w:r>
      <w:r>
        <w:rPr>
          <w:rFonts w:asciiTheme="majorHAnsi" w:hAnsiTheme="majorHAnsi"/>
        </w:rPr>
        <w:t>.</w:t>
      </w:r>
    </w:p>
    <w:p w14:paraId="706F4A5B" w14:textId="77777777" w:rsidR="008270AB" w:rsidRPr="00A5344E" w:rsidRDefault="008270AB" w:rsidP="00D76B50">
      <w:pPr>
        <w:rPr>
          <w:rFonts w:asciiTheme="majorHAnsi" w:hAnsiTheme="majorHAnsi" w:cstheme="majorHAnsi"/>
        </w:rPr>
      </w:pPr>
    </w:p>
    <w:p w14:paraId="2C09C809" w14:textId="29BF05CC" w:rsidR="004E4BBE" w:rsidRPr="00A5344E" w:rsidRDefault="004E4BBE" w:rsidP="00D76B50">
      <w:pPr>
        <w:rPr>
          <w:rFonts w:asciiTheme="majorHAnsi" w:hAnsiTheme="majorHAnsi" w:cstheme="majorHAnsi"/>
        </w:rPr>
      </w:pPr>
      <w:r>
        <w:rPr>
          <w:rFonts w:asciiTheme="majorHAnsi" w:hAnsiTheme="majorHAnsi"/>
        </w:rPr>
        <w:t>Les versements horizontaux intervenus dans le cadre de la péréquation financière (réduction des disparités) n’apparaissent pas ici, car ils se compensent entre eux sur l’ensemble des communes. La réduction des disparités est prise en compte dans l’analyse par catégorie de communes</w:t>
      </w:r>
      <w:r w:rsidR="0087725E">
        <w:rPr>
          <w:rFonts w:asciiTheme="majorHAnsi" w:hAnsiTheme="majorHAnsi"/>
        </w:rPr>
        <w:t>,</w:t>
      </w:r>
      <w:r>
        <w:rPr>
          <w:rFonts w:asciiTheme="majorHAnsi" w:hAnsiTheme="majorHAnsi"/>
        </w:rPr>
        <w:t xml:space="preserve"> présentée au chapitre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_Ref185250340 \r \h </w:instrText>
      </w:r>
      <w:r w:rsidR="00984F56" w:rsidRP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w:t>
      </w:r>
      <w:r w:rsidR="00D21982" w:rsidRPr="00A5344E">
        <w:rPr>
          <w:rFonts w:asciiTheme="majorHAnsi" w:hAnsiTheme="majorHAnsi" w:cstheme="majorHAnsi"/>
        </w:rPr>
        <w:fldChar w:fldCharType="end"/>
      </w:r>
      <w:r>
        <w:rPr>
          <w:rFonts w:asciiTheme="majorHAnsi" w:hAnsiTheme="majorHAnsi"/>
        </w:rPr>
        <w:t>.</w:t>
      </w:r>
    </w:p>
    <w:p w14:paraId="2A1E93EB" w14:textId="77777777" w:rsidR="004E4BBE" w:rsidRPr="00A5344E" w:rsidRDefault="004E4BBE" w:rsidP="004E4BBE">
      <w:pPr>
        <w:pStyle w:val="berschrift2nummeriert"/>
        <w:rPr>
          <w:rFonts w:cstheme="majorHAnsi"/>
        </w:rPr>
      </w:pPr>
      <w:bookmarkStart w:id="11" w:name="_Toc196227241"/>
      <w:r>
        <w:t>Mesures en faveur des communes supportant des charges particulièrement lourdes</w:t>
      </w:r>
      <w:bookmarkEnd w:id="11"/>
    </w:p>
    <w:p w14:paraId="073154AF" w14:textId="43317C01" w:rsidR="004E4BBE" w:rsidRPr="00A5344E" w:rsidRDefault="004E4BBE" w:rsidP="004E4BBE">
      <w:pPr>
        <w:pStyle w:val="Aufzhlungszeichen"/>
        <w:contextualSpacing w:val="0"/>
        <w:rPr>
          <w:rFonts w:asciiTheme="majorHAnsi" w:hAnsiTheme="majorHAnsi" w:cstheme="majorHAnsi"/>
        </w:rPr>
      </w:pPr>
      <w:r>
        <w:rPr>
          <w:rFonts w:asciiTheme="majorHAnsi" w:hAnsiTheme="majorHAnsi"/>
          <w:b/>
        </w:rPr>
        <w:t>Indemnisation forfaitaire des charges de centre urbain</w:t>
      </w:r>
      <w:r>
        <w:rPr>
          <w:rFonts w:asciiTheme="majorHAnsi" w:hAnsiTheme="majorHAnsi"/>
        </w:rPr>
        <w:t> : les communes de Berne, Bienne et Thoune reçoivent une prestation complémentaire annuelle à titre d’indemnisation partielle des charges de centre urbain supérieures à la moyenne qu’elles supportent dans les domaines des transports privés, de la sécurité publique, des infrastructures d’accueil, des sports, de la sécurité sociale et de la culture (art. 15 LPFC).</w:t>
      </w:r>
      <w:r>
        <w:t xml:space="preserve"> </w:t>
      </w:r>
      <w:r>
        <w:rPr>
          <w:rFonts w:asciiTheme="majorHAnsi" w:hAnsiTheme="majorHAnsi"/>
        </w:rPr>
        <w:t>La somme totale des indemnités versées à ce titre est stable depuis 2019 et s’élève à 90,8 millions de francs.</w:t>
      </w:r>
    </w:p>
    <w:p w14:paraId="0A8A5F5F" w14:textId="3C71B473" w:rsidR="004E4BBE" w:rsidRPr="00A5344E" w:rsidRDefault="004E4BBE" w:rsidP="004E4BBE">
      <w:pPr>
        <w:pStyle w:val="Aufzhlungszeichen"/>
        <w:contextualSpacing w:val="0"/>
        <w:rPr>
          <w:rFonts w:asciiTheme="majorHAnsi" w:hAnsiTheme="majorHAnsi" w:cstheme="majorHAnsi"/>
        </w:rPr>
      </w:pPr>
      <w:r>
        <w:rPr>
          <w:rFonts w:asciiTheme="majorHAnsi" w:hAnsiTheme="majorHAnsi"/>
          <w:b/>
        </w:rPr>
        <w:t>Prise en compte des charges de centre urbain dans le calcul de la péréquation financière</w:t>
      </w:r>
      <w:r>
        <w:rPr>
          <w:rFonts w:asciiTheme="majorHAnsi" w:hAnsiTheme="majorHAnsi"/>
        </w:rPr>
        <w:t xml:space="preserve"> : lors du calcul de la péréquation financière, les communes de Berne, Bienne, Thoune, Berthoud et Langenthal peuvent déduire les charges de centres urbain restant à leur charge après déduction de l’indemnité forfaitaire (art. 14 LPFC). Bien que cette déduction ait un impact sur la péréquation financière directe, elle n’est pas </w:t>
      </w:r>
      <w:r w:rsidR="0087725E">
        <w:rPr>
          <w:rFonts w:asciiTheme="majorHAnsi" w:hAnsiTheme="majorHAnsi"/>
        </w:rPr>
        <w:t xml:space="preserve">isolée </w:t>
      </w:r>
      <w:r>
        <w:rPr>
          <w:rFonts w:asciiTheme="majorHAnsi" w:hAnsiTheme="majorHAnsi"/>
        </w:rPr>
        <w:t>dans le cadre de l’analyse permanente de la LPFC. Le total de ces déductions est stable depuis 2019 et se monte à 67,2 millions de francs.</w:t>
      </w:r>
    </w:p>
    <w:p w14:paraId="79796FEA" w14:textId="49CD3861" w:rsidR="004E4BBE" w:rsidRPr="00A5344E" w:rsidRDefault="004E4BBE" w:rsidP="004E4BBE">
      <w:pPr>
        <w:pStyle w:val="Aufzhlungszeichen"/>
        <w:contextualSpacing w:val="0"/>
        <w:rPr>
          <w:rFonts w:asciiTheme="majorHAnsi" w:hAnsiTheme="majorHAnsi" w:cstheme="majorHAnsi"/>
        </w:rPr>
      </w:pPr>
      <w:r>
        <w:rPr>
          <w:rFonts w:asciiTheme="majorHAnsi" w:hAnsiTheme="majorHAnsi"/>
          <w:b/>
        </w:rPr>
        <w:t>Prestation complémentaire géo-topographique</w:t>
      </w:r>
      <w:r>
        <w:rPr>
          <w:rFonts w:asciiTheme="majorHAnsi" w:hAnsiTheme="majorHAnsi"/>
        </w:rPr>
        <w:t> : les communes qui supportent des charges excessives en raison de leur situation géo-topographique reçoivent une prestation complémentaire (art. 18 LPFC). En 2024, le montant versé à ce titre s’élève à 38,1 millions de francs.</w:t>
      </w:r>
    </w:p>
    <w:p w14:paraId="0408F593" w14:textId="7FCDF353" w:rsidR="004E4BBE" w:rsidRPr="00132158" w:rsidRDefault="004E4BBE" w:rsidP="00000432">
      <w:pPr>
        <w:pStyle w:val="Aufzhlungszeichen"/>
        <w:contextualSpacing w:val="0"/>
        <w:rPr>
          <w:rFonts w:asciiTheme="majorHAnsi" w:hAnsiTheme="majorHAnsi" w:cstheme="majorHAnsi"/>
        </w:rPr>
      </w:pPr>
      <w:r>
        <w:rPr>
          <w:rFonts w:asciiTheme="majorHAnsi" w:hAnsiTheme="majorHAnsi"/>
          <w:b/>
        </w:rPr>
        <w:t>Prestation complémentaire socio-démographique</w:t>
      </w:r>
      <w:r>
        <w:rPr>
          <w:rFonts w:asciiTheme="majorHAnsi" w:hAnsiTheme="majorHAnsi"/>
        </w:rPr>
        <w:t> : les communes participent à hauteur de 20 pour cent (franchise) au financement de certains volets de l’aide sociale institutionnelle (accueil extra-familial pour enfants, animation de jeunesse, centres communautaires). La prestation complémentaire socio-démographique a été instaurée pour niveler cette franchise (art. 21a ss LPFC). Le montant total versé à ce titre s’élève à 17,0 millions de francs en 2024.</w:t>
      </w:r>
    </w:p>
    <w:p w14:paraId="2ADA408D" w14:textId="77777777" w:rsidR="004E4BBE" w:rsidRPr="00A5344E" w:rsidRDefault="004E4BBE" w:rsidP="004E4BBE">
      <w:pPr>
        <w:pStyle w:val="berschrift2nummeriert"/>
        <w:rPr>
          <w:rFonts w:cstheme="majorHAnsi"/>
        </w:rPr>
      </w:pPr>
      <w:bookmarkStart w:id="12" w:name="_Toc196227242"/>
      <w:r>
        <w:t>Évolution des disparités de capacité contributive entre communes</w:t>
      </w:r>
      <w:bookmarkEnd w:id="12"/>
    </w:p>
    <w:p w14:paraId="15C8FF7F" w14:textId="6C6C3EA1" w:rsidR="004E4BBE" w:rsidRPr="00A5344E" w:rsidRDefault="004E4BBE" w:rsidP="004E4BBE">
      <w:pPr>
        <w:rPr>
          <w:rFonts w:asciiTheme="majorHAnsi" w:hAnsiTheme="majorHAnsi" w:cstheme="majorHAnsi"/>
        </w:rPr>
      </w:pPr>
      <w:r>
        <w:rPr>
          <w:rFonts w:asciiTheme="majorHAnsi" w:hAnsiTheme="majorHAnsi"/>
        </w:rPr>
        <w:t>La péréquation financière a explicitement pour but d’atténuer les disparités, c’est-à-dire de réduire les différences de capacité financière entre communes. Elle a des objectifs à court et à long terme. Sur le court terme, l’idée est que toutes les communes disposent de ressources suffisantes pour accomplir les tâches qui leur sont dévolues. Cela s’opère par des transferts de paiements du canton et des communes à fort potentiel de ressources vers les communes à faible potentiel de ressources. Ces transferts entre communes atténuent automatiquement les disparités. L’</w:t>
      </w:r>
      <w:r w:rsidR="00B7650B" w:rsidRPr="00B7650B">
        <w:rPr>
          <w:rFonts w:asciiTheme="majorHAnsi" w:hAnsiTheme="majorHAnsi" w:cstheme="majorHAnsi"/>
        </w:rPr>
        <w:fldChar w:fldCharType="begin"/>
      </w:r>
      <w:r w:rsidR="00B7650B" w:rsidRPr="00B7650B">
        <w:rPr>
          <w:rFonts w:asciiTheme="majorHAnsi" w:hAnsiTheme="majorHAnsi" w:cstheme="majorHAnsi"/>
        </w:rPr>
        <w:instrText xml:space="preserve"> REF  _Ref183417823 \* Lower \h  </w:instrText>
      </w:r>
      <w:r w:rsidR="00C83E47" w:rsidRPr="00C83E47">
        <w:rPr>
          <w:rFonts w:asciiTheme="majorHAnsi" w:hAnsiTheme="majorHAnsi" w:cstheme="majorHAnsi"/>
        </w:rPr>
        <w:instrText>\* charformat</w:instrText>
      </w:r>
      <w:r w:rsidR="00B7650B" w:rsidRPr="00B7650B">
        <w:rPr>
          <w:rFonts w:asciiTheme="majorHAnsi" w:hAnsiTheme="majorHAnsi" w:cstheme="majorHAnsi"/>
        </w:rPr>
        <w:instrText xml:space="preserve"> </w:instrText>
      </w:r>
      <w:r w:rsidR="00B7650B" w:rsidRPr="00B7650B">
        <w:rPr>
          <w:rFonts w:asciiTheme="majorHAnsi" w:hAnsiTheme="majorHAnsi" w:cstheme="majorHAnsi"/>
        </w:rPr>
      </w:r>
      <w:r w:rsidR="00B7650B" w:rsidRPr="00B7650B">
        <w:rPr>
          <w:rFonts w:asciiTheme="majorHAnsi" w:hAnsiTheme="majorHAnsi" w:cstheme="majorHAnsi"/>
        </w:rPr>
        <w:fldChar w:fldCharType="separate"/>
      </w:r>
      <w:r w:rsidR="00C83E47" w:rsidRPr="00C83E47">
        <w:rPr>
          <w:rFonts w:asciiTheme="majorHAnsi" w:hAnsiTheme="majorHAnsi" w:cstheme="majorHAnsi"/>
        </w:rPr>
        <w:t>illustration 2</w:t>
      </w:r>
      <w:r w:rsidR="00B7650B" w:rsidRPr="00B7650B">
        <w:rPr>
          <w:rFonts w:asciiTheme="majorHAnsi" w:hAnsiTheme="majorHAnsi" w:cstheme="majorHAnsi"/>
        </w:rPr>
        <w:fldChar w:fldCharType="end"/>
      </w:r>
      <w:r>
        <w:rPr>
          <w:rFonts w:asciiTheme="majorHAnsi" w:hAnsiTheme="majorHAnsi"/>
        </w:rPr>
        <w:t xml:space="preserve"> ci-dessous indique les versements (ou flux) nets par commune. On remarque que les communes contributrices sont plutôt urbaines. La réduction des disparités entraîne donc une redistribution de ces communes vers les communes rurales.</w:t>
      </w:r>
    </w:p>
    <w:p w14:paraId="1686224C" w14:textId="2042F8BD" w:rsidR="004E4BBE" w:rsidRDefault="004E4BBE" w:rsidP="00984F56">
      <w:pPr>
        <w:pStyle w:val="Beschriftung"/>
        <w:keepNext/>
        <w:ind w:left="1418" w:hanging="1418"/>
        <w:jc w:val="both"/>
        <w:rPr>
          <w:rFonts w:asciiTheme="majorHAnsi" w:hAnsiTheme="majorHAnsi"/>
          <w:b/>
        </w:rPr>
      </w:pPr>
      <w:bookmarkStart w:id="13" w:name="_Ref183417823"/>
      <w:r>
        <w:rPr>
          <w:rFonts w:asciiTheme="majorHAnsi" w:hAnsiTheme="majorHAnsi"/>
          <w:b/>
        </w:rPr>
        <w:lastRenderedPageBreak/>
        <w:t>Illustration</w:t>
      </w:r>
      <w:r w:rsidR="00B7650B">
        <w:rPr>
          <w:rFonts w:asciiTheme="majorHAnsi" w:hAnsiTheme="majorHAnsi"/>
          <w:b/>
        </w:rPr>
        <w:t xml:space="preserve"> </w:t>
      </w:r>
      <w:r w:rsidR="007732EE" w:rsidRPr="00A5344E">
        <w:rPr>
          <w:rFonts w:asciiTheme="majorHAnsi" w:hAnsiTheme="majorHAnsi" w:cstheme="majorHAnsi"/>
          <w:b/>
        </w:rPr>
        <w:fldChar w:fldCharType="begin"/>
      </w:r>
      <w:r w:rsidR="007732EE" w:rsidRPr="00A5344E">
        <w:rPr>
          <w:rFonts w:asciiTheme="majorHAnsi" w:hAnsiTheme="majorHAnsi" w:cstheme="majorHAnsi"/>
          <w:b/>
        </w:rPr>
        <w:instrText xml:space="preserve"> SEQ Abbildung \* ARABIC </w:instrText>
      </w:r>
      <w:r w:rsidR="007732EE" w:rsidRPr="00A5344E">
        <w:rPr>
          <w:rFonts w:asciiTheme="majorHAnsi" w:hAnsiTheme="majorHAnsi" w:cstheme="majorHAnsi"/>
          <w:b/>
        </w:rPr>
        <w:fldChar w:fldCharType="separate"/>
      </w:r>
      <w:r w:rsidR="00A513C6" w:rsidRPr="00A5344E">
        <w:rPr>
          <w:rFonts w:asciiTheme="majorHAnsi" w:hAnsiTheme="majorHAnsi" w:cstheme="majorHAnsi"/>
          <w:b/>
        </w:rPr>
        <w:t>2</w:t>
      </w:r>
      <w:r w:rsidR="007732EE" w:rsidRPr="00A5344E">
        <w:rPr>
          <w:rFonts w:asciiTheme="majorHAnsi" w:hAnsiTheme="majorHAnsi" w:cstheme="majorHAnsi"/>
          <w:b/>
        </w:rPr>
        <w:fldChar w:fldCharType="end"/>
      </w:r>
      <w:bookmarkEnd w:id="13"/>
      <w:r>
        <w:rPr>
          <w:rFonts w:asciiTheme="majorHAnsi" w:hAnsiTheme="majorHAnsi"/>
          <w:b/>
        </w:rPr>
        <w:t> :</w:t>
      </w:r>
      <w:r>
        <w:rPr>
          <w:rFonts w:asciiTheme="majorHAnsi" w:hAnsiTheme="majorHAnsi"/>
          <w:b/>
        </w:rPr>
        <w:tab/>
        <w:t>Péréquation financière et mesures en faveur des communes supportant des charges particulièrement lourdes, versements (ou flux) nets par commune</w:t>
      </w:r>
    </w:p>
    <w:p w14:paraId="0ADD99CA" w14:textId="41F4FC76" w:rsidR="00B7650B" w:rsidRPr="00B7650B" w:rsidRDefault="00B7650B" w:rsidP="00B7650B">
      <w:r>
        <w:rPr>
          <w:noProof/>
        </w:rPr>
        <w:drawing>
          <wp:inline distT="0" distB="0" distL="0" distR="0" wp14:anchorId="6E860B6A" wp14:editId="6B4583C0">
            <wp:extent cx="6336030" cy="4485640"/>
            <wp:effectExtent l="0" t="0" r="7620" b="0"/>
            <wp:docPr id="10452860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86061" name=""/>
                    <pic:cNvPicPr/>
                  </pic:nvPicPr>
                  <pic:blipFill>
                    <a:blip r:embed="rId10"/>
                    <a:stretch>
                      <a:fillRect/>
                    </a:stretch>
                  </pic:blipFill>
                  <pic:spPr>
                    <a:xfrm>
                      <a:off x="0" y="0"/>
                      <a:ext cx="6336030" cy="4485640"/>
                    </a:xfrm>
                    <a:prstGeom prst="rect">
                      <a:avLst/>
                    </a:prstGeom>
                  </pic:spPr>
                </pic:pic>
              </a:graphicData>
            </a:graphic>
          </wp:inline>
        </w:drawing>
      </w:r>
    </w:p>
    <w:p w14:paraId="32DE7F19" w14:textId="10DF5A91" w:rsidR="004E4BBE" w:rsidRPr="00A5344E" w:rsidRDefault="004E4BBE" w:rsidP="004E4BBE">
      <w:pPr>
        <w:pStyle w:val="Textkrper"/>
        <w:keepNext/>
        <w:rPr>
          <w:rFonts w:asciiTheme="majorHAnsi" w:hAnsiTheme="majorHAnsi" w:cstheme="majorHAnsi"/>
        </w:rPr>
      </w:pPr>
    </w:p>
    <w:p w14:paraId="2BC844B8" w14:textId="77777777" w:rsidR="004E4BBE" w:rsidRPr="00A5344E" w:rsidRDefault="004E4BBE" w:rsidP="004E4BBE">
      <w:pPr>
        <w:rPr>
          <w:rFonts w:asciiTheme="majorHAnsi" w:hAnsiTheme="majorHAnsi" w:cstheme="majorHAnsi"/>
        </w:rPr>
      </w:pPr>
    </w:p>
    <w:p w14:paraId="65D38376" w14:textId="76AC0251" w:rsidR="004E4BBE" w:rsidRPr="00A5344E" w:rsidRDefault="00116E6E" w:rsidP="004E4BBE">
      <w:pPr>
        <w:rPr>
          <w:rFonts w:asciiTheme="majorHAnsi" w:hAnsiTheme="majorHAnsi" w:cstheme="majorHAnsi"/>
        </w:rPr>
      </w:pPr>
      <w:r>
        <w:rPr>
          <w:rFonts w:asciiTheme="majorHAnsi" w:hAnsiTheme="majorHAnsi"/>
        </w:rPr>
        <w:t>La péréquation financière a également des effets intéressants à moyen et long terme. Les communes à faible potentiel de ressources peuvent utiliser les fonds qu’elles reçoivent dans ce cadre pour renforcer leur attractivité</w:t>
      </w:r>
      <w:r w:rsidR="004E6F5B">
        <w:rPr>
          <w:rFonts w:asciiTheme="majorHAnsi" w:hAnsiTheme="majorHAnsi"/>
        </w:rPr>
        <w:t xml:space="preserve">, de sorte à </w:t>
      </w:r>
      <w:r>
        <w:rPr>
          <w:rFonts w:asciiTheme="majorHAnsi" w:hAnsiTheme="majorHAnsi"/>
        </w:rPr>
        <w:t xml:space="preserve">augmenter leur matière imposable et, du même coup, </w:t>
      </w:r>
      <w:r w:rsidR="004E6F5B">
        <w:rPr>
          <w:rFonts w:asciiTheme="majorHAnsi" w:hAnsiTheme="majorHAnsi"/>
        </w:rPr>
        <w:t xml:space="preserve">à </w:t>
      </w:r>
      <w:r>
        <w:rPr>
          <w:rFonts w:asciiTheme="majorHAnsi" w:hAnsiTheme="majorHAnsi"/>
        </w:rPr>
        <w:t xml:space="preserve">améliorer durablement leur capacité financière. Elles disposent des trois leviers suivants pour y parvenir : baisser leur fiscalité, réduire leur dette et investir (p. ex. pour développer leurs infrastructures). Si les mesures mises en œuvre fonctionnent, elles améliorent leurs rentrées fiscales et </w:t>
      </w:r>
      <w:r w:rsidR="004E6F5B">
        <w:rPr>
          <w:rFonts w:asciiTheme="majorHAnsi" w:hAnsiTheme="majorHAnsi"/>
        </w:rPr>
        <w:t xml:space="preserve">contribuent ainsi à </w:t>
      </w:r>
      <w:r>
        <w:rPr>
          <w:rFonts w:asciiTheme="majorHAnsi" w:hAnsiTheme="majorHAnsi"/>
        </w:rPr>
        <w:t>rédui</w:t>
      </w:r>
      <w:r w:rsidR="004E6F5B">
        <w:rPr>
          <w:rFonts w:asciiTheme="majorHAnsi" w:hAnsiTheme="majorHAnsi"/>
        </w:rPr>
        <w:t>re</w:t>
      </w:r>
      <w:r>
        <w:rPr>
          <w:rFonts w:asciiTheme="majorHAnsi" w:hAnsiTheme="majorHAnsi"/>
        </w:rPr>
        <w:t xml:space="preserve"> les disparités entre communes.</w:t>
      </w:r>
    </w:p>
    <w:p w14:paraId="77905259" w14:textId="77777777" w:rsidR="008270AB" w:rsidRPr="00A5344E" w:rsidRDefault="008270AB" w:rsidP="004E4BBE">
      <w:pPr>
        <w:rPr>
          <w:rFonts w:asciiTheme="majorHAnsi" w:hAnsiTheme="majorHAnsi" w:cstheme="majorHAnsi"/>
        </w:rPr>
      </w:pPr>
    </w:p>
    <w:p w14:paraId="26470FAC" w14:textId="0DFAD168" w:rsidR="00827FD3" w:rsidRDefault="004E4BBE" w:rsidP="00984F56">
      <w:pPr>
        <w:rPr>
          <w:rFonts w:asciiTheme="majorHAnsi" w:hAnsiTheme="majorHAnsi" w:cstheme="majorHAnsi"/>
        </w:rPr>
      </w:pPr>
      <w:r>
        <w:rPr>
          <w:rFonts w:asciiTheme="majorHAnsi" w:hAnsiTheme="majorHAnsi"/>
        </w:rPr>
        <w:t>Toutefois, les écarts de capacité financière s’expliquent aussi par d’autres facteurs, sur lesquels les communes n’ont pas ou guère d’influence, en particulier la conjoncture. Celle-ci touche très diversement les communes et entraîne des variations de potentiel de ressources.</w:t>
      </w:r>
    </w:p>
    <w:p w14:paraId="2FD5B3C9" w14:textId="77777777" w:rsidR="00F6654E" w:rsidRPr="00A5344E" w:rsidRDefault="00F6654E" w:rsidP="00984F56">
      <w:pPr>
        <w:rPr>
          <w:rFonts w:asciiTheme="majorHAnsi" w:hAnsiTheme="majorHAnsi" w:cstheme="majorHAnsi"/>
        </w:rPr>
      </w:pPr>
    </w:p>
    <w:p w14:paraId="35E71DF2" w14:textId="6C7D843D" w:rsidR="00984F56" w:rsidRPr="00A5344E" w:rsidRDefault="00984F56" w:rsidP="00984F56">
      <w:pPr>
        <w:rPr>
          <w:rFonts w:asciiTheme="majorHAnsi" w:eastAsia="Arial" w:hAnsiTheme="majorHAnsi" w:cstheme="majorHAnsi"/>
          <w:spacing w:val="0"/>
          <w:szCs w:val="21"/>
        </w:rPr>
      </w:pPr>
      <w:r>
        <w:br w:type="page"/>
      </w:r>
    </w:p>
    <w:p w14:paraId="15F39AD0" w14:textId="77777777" w:rsidR="004E4BBE" w:rsidRPr="00A5344E" w:rsidRDefault="004E4BBE" w:rsidP="004E4BBE">
      <w:pPr>
        <w:pStyle w:val="H1"/>
        <w:rPr>
          <w:rFonts w:cstheme="majorHAnsi"/>
        </w:rPr>
      </w:pPr>
      <w:bookmarkStart w:id="14" w:name="_Ref185250143"/>
      <w:bookmarkStart w:id="15" w:name="_Toc196227243"/>
      <w:r>
        <w:lastRenderedPageBreak/>
        <w:t>Systèmes de compensation des charges</w:t>
      </w:r>
      <w:bookmarkEnd w:id="14"/>
      <w:bookmarkEnd w:id="15"/>
    </w:p>
    <w:p w14:paraId="66A3322E" w14:textId="700D23D6" w:rsidR="004E4BBE" w:rsidRPr="00A5344E" w:rsidRDefault="004E4BBE" w:rsidP="004E4BBE">
      <w:pPr>
        <w:pStyle w:val="berschrift2nummeriert"/>
        <w:rPr>
          <w:rFonts w:cstheme="majorHAnsi"/>
        </w:rPr>
      </w:pPr>
      <w:bookmarkStart w:id="16" w:name="_Toc196227244"/>
      <w:r>
        <w:t>Vue d</w:t>
      </w:r>
      <w:r w:rsidR="004E6F5B">
        <w:t>’</w:t>
      </w:r>
      <w:r>
        <w:t>ensemble</w:t>
      </w:r>
      <w:bookmarkEnd w:id="16"/>
    </w:p>
    <w:p w14:paraId="17BEFCE9" w14:textId="7506230D" w:rsidR="004E4BBE" w:rsidRPr="00A5344E" w:rsidRDefault="00AE456E" w:rsidP="004E4BBE">
      <w:pPr>
        <w:rPr>
          <w:rFonts w:asciiTheme="majorHAnsi" w:hAnsiTheme="majorHAnsi" w:cstheme="majorHAnsi"/>
        </w:rPr>
      </w:pPr>
      <w:r>
        <w:rPr>
          <w:rFonts w:asciiTheme="majorHAnsi" w:hAnsiTheme="majorHAnsi"/>
        </w:rPr>
        <w:t>L’</w:t>
      </w:r>
      <w:r w:rsidR="0063677D">
        <w:rPr>
          <w:rFonts w:asciiTheme="majorHAnsi" w:hAnsiTheme="majorHAnsi"/>
        </w:rPr>
        <w:t>illustration 3</w:t>
      </w:r>
      <w:r w:rsidRPr="006B4687">
        <w:rPr>
          <w:rFonts w:asciiTheme="majorHAnsi" w:hAnsiTheme="majorHAnsi"/>
        </w:rPr>
        <w:t xml:space="preserve"> </w:t>
      </w:r>
      <w:r>
        <w:rPr>
          <w:rFonts w:asciiTheme="majorHAnsi" w:hAnsiTheme="majorHAnsi"/>
        </w:rPr>
        <w:t>montre l’impact des systèmes de compensation sur les charges communales entre 2020 et 2024. Les charges des communes concernées par ces dispositifs ont continuellement augmenté entre 2020 et 2024. Cette hausse, de 1 472 millions de francs en 2020 à 1 622 millions de francs en 2024, est particulièrement marquée dans les domaines de l’action sociale (CHF +57,9 mio) et des traitements du corps enseignant (CHF +56,6 mio).</w:t>
      </w:r>
    </w:p>
    <w:p w14:paraId="62A9DB71" w14:textId="77777777" w:rsidR="00984F56" w:rsidRPr="00A5344E" w:rsidRDefault="00984F56" w:rsidP="004E4BBE">
      <w:pPr>
        <w:rPr>
          <w:rFonts w:asciiTheme="majorHAnsi" w:hAnsiTheme="majorHAnsi" w:cstheme="majorHAnsi"/>
        </w:rPr>
      </w:pPr>
    </w:p>
    <w:p w14:paraId="3B5FB22D" w14:textId="176F3E35" w:rsidR="004E4BBE" w:rsidRPr="00A5344E" w:rsidRDefault="004E4BBE" w:rsidP="004E4BBE">
      <w:pPr>
        <w:pStyle w:val="Beschriftung"/>
        <w:keepNext/>
        <w:rPr>
          <w:rFonts w:asciiTheme="majorHAnsi" w:hAnsiTheme="majorHAnsi" w:cstheme="majorHAnsi"/>
          <w:b/>
          <w:bCs w:val="0"/>
        </w:rPr>
      </w:pPr>
      <w:bookmarkStart w:id="17" w:name="_Ref187939934"/>
      <w:r>
        <w:rPr>
          <w:rFonts w:asciiTheme="majorHAnsi" w:hAnsiTheme="majorHAnsi"/>
          <w:b/>
        </w:rPr>
        <w:t>Illustration</w:t>
      </w:r>
      <w:r w:rsidR="006B4687">
        <w:rPr>
          <w:rFonts w:asciiTheme="majorHAnsi" w:hAnsiTheme="majorHAnsi"/>
          <w:b/>
        </w:rPr>
        <w:t xml:space="preserve"> </w:t>
      </w:r>
      <w:r w:rsidR="007732EE" w:rsidRPr="00A5344E">
        <w:rPr>
          <w:rFonts w:asciiTheme="majorHAnsi" w:hAnsiTheme="majorHAnsi" w:cstheme="majorHAnsi"/>
          <w:b/>
        </w:rPr>
        <w:fldChar w:fldCharType="begin"/>
      </w:r>
      <w:r w:rsidR="007732EE" w:rsidRPr="00A5344E">
        <w:rPr>
          <w:rFonts w:asciiTheme="majorHAnsi" w:hAnsiTheme="majorHAnsi" w:cstheme="majorHAnsi"/>
          <w:b/>
        </w:rPr>
        <w:instrText xml:space="preserve"> SEQ Abbildung \* ARABIC </w:instrText>
      </w:r>
      <w:r w:rsidR="007732EE" w:rsidRPr="00A5344E">
        <w:rPr>
          <w:rFonts w:asciiTheme="majorHAnsi" w:hAnsiTheme="majorHAnsi" w:cstheme="majorHAnsi"/>
          <w:b/>
        </w:rPr>
        <w:fldChar w:fldCharType="separate"/>
      </w:r>
      <w:r w:rsidR="00A513C6" w:rsidRPr="00A5344E">
        <w:rPr>
          <w:rFonts w:asciiTheme="majorHAnsi" w:hAnsiTheme="majorHAnsi" w:cstheme="majorHAnsi"/>
          <w:b/>
        </w:rPr>
        <w:t>3</w:t>
      </w:r>
      <w:r w:rsidR="007732EE" w:rsidRPr="00A5344E">
        <w:rPr>
          <w:rFonts w:asciiTheme="majorHAnsi" w:hAnsiTheme="majorHAnsi" w:cstheme="majorHAnsi"/>
          <w:b/>
        </w:rPr>
        <w:fldChar w:fldCharType="end"/>
      </w:r>
      <w:bookmarkEnd w:id="17"/>
      <w:r>
        <w:rPr>
          <w:rFonts w:asciiTheme="majorHAnsi" w:hAnsiTheme="majorHAnsi"/>
          <w:b/>
        </w:rPr>
        <w:t> :</w:t>
      </w:r>
      <w:r>
        <w:rPr>
          <w:rFonts w:asciiTheme="majorHAnsi" w:hAnsiTheme="majorHAnsi"/>
          <w:b/>
        </w:rPr>
        <w:tab/>
        <w:t>Évolution des charges communales liées aux dispositifs de compensation de 2020 à 2024 (en CHF)</w:t>
      </w:r>
    </w:p>
    <w:tbl>
      <w:tblPr>
        <w:tblStyle w:val="Ecoplankombi"/>
        <w:tblW w:w="5000" w:type="pct"/>
        <w:tblLook w:val="04A0" w:firstRow="1" w:lastRow="0" w:firstColumn="1" w:lastColumn="0" w:noHBand="0" w:noVBand="1"/>
      </w:tblPr>
      <w:tblGrid>
        <w:gridCol w:w="3396"/>
        <w:gridCol w:w="1288"/>
        <w:gridCol w:w="1288"/>
        <w:gridCol w:w="1288"/>
        <w:gridCol w:w="1290"/>
        <w:gridCol w:w="1288"/>
      </w:tblGrid>
      <w:tr w:rsidR="004E4BBE" w:rsidRPr="00A5344E" w14:paraId="15AE1DBA" w14:textId="77777777" w:rsidTr="0063677D">
        <w:trPr>
          <w:cnfStyle w:val="100000000000" w:firstRow="1" w:lastRow="0" w:firstColumn="0" w:lastColumn="0" w:oddVBand="0" w:evenVBand="0" w:oddHBand="0" w:evenHBand="0" w:firstRowFirstColumn="0" w:firstRowLastColumn="0" w:lastRowFirstColumn="0" w:lastRowLastColumn="0"/>
          <w:trHeight w:val="330"/>
        </w:trPr>
        <w:tc>
          <w:tcPr>
            <w:tcW w:w="1702" w:type="pct"/>
            <w:noWrap/>
            <w:hideMark/>
          </w:tcPr>
          <w:p w14:paraId="61433213" w14:textId="77777777" w:rsidR="004E4BBE" w:rsidRPr="00A5344E" w:rsidRDefault="004E4BBE" w:rsidP="004E4BBE">
            <w:pPr>
              <w:pStyle w:val="Tabellentext"/>
              <w:rPr>
                <w:rFonts w:asciiTheme="majorHAnsi" w:hAnsiTheme="majorHAnsi" w:cstheme="majorHAnsi"/>
              </w:rPr>
            </w:pPr>
            <w:r>
              <w:rPr>
                <w:rFonts w:asciiTheme="majorHAnsi" w:hAnsiTheme="majorHAnsi"/>
              </w:rPr>
              <w:t> </w:t>
            </w:r>
          </w:p>
        </w:tc>
        <w:tc>
          <w:tcPr>
            <w:tcW w:w="659" w:type="pct"/>
            <w:noWrap/>
            <w:hideMark/>
          </w:tcPr>
          <w:p w14:paraId="69E4F8EA"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2020</w:t>
            </w:r>
          </w:p>
        </w:tc>
        <w:tc>
          <w:tcPr>
            <w:tcW w:w="659" w:type="pct"/>
            <w:noWrap/>
            <w:hideMark/>
          </w:tcPr>
          <w:p w14:paraId="102E0612"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2021</w:t>
            </w:r>
          </w:p>
        </w:tc>
        <w:tc>
          <w:tcPr>
            <w:tcW w:w="659" w:type="pct"/>
            <w:noWrap/>
            <w:hideMark/>
          </w:tcPr>
          <w:p w14:paraId="50ABAAF1"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2022</w:t>
            </w:r>
          </w:p>
        </w:tc>
        <w:tc>
          <w:tcPr>
            <w:tcW w:w="660" w:type="pct"/>
            <w:noWrap/>
            <w:hideMark/>
          </w:tcPr>
          <w:p w14:paraId="64C9C78D"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2023</w:t>
            </w:r>
          </w:p>
        </w:tc>
        <w:tc>
          <w:tcPr>
            <w:tcW w:w="659" w:type="pct"/>
            <w:noWrap/>
            <w:hideMark/>
          </w:tcPr>
          <w:p w14:paraId="2BF94A8F"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2024</w:t>
            </w:r>
          </w:p>
        </w:tc>
      </w:tr>
      <w:tr w:rsidR="004E4BBE" w:rsidRPr="00A5344E" w14:paraId="6A43305B" w14:textId="77777777" w:rsidTr="0063677D">
        <w:trPr>
          <w:cnfStyle w:val="000000100000" w:firstRow="0" w:lastRow="0" w:firstColumn="0" w:lastColumn="0" w:oddVBand="0" w:evenVBand="0" w:oddHBand="1" w:evenHBand="0" w:firstRowFirstColumn="0" w:firstRowLastColumn="0" w:lastRowFirstColumn="0" w:lastRowLastColumn="0"/>
          <w:trHeight w:val="330"/>
        </w:trPr>
        <w:tc>
          <w:tcPr>
            <w:tcW w:w="1702" w:type="pct"/>
            <w:noWrap/>
            <w:hideMark/>
          </w:tcPr>
          <w:p w14:paraId="53B730E0"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CC Traitements du corps enseignant</w:t>
            </w:r>
          </w:p>
        </w:tc>
        <w:tc>
          <w:tcPr>
            <w:tcW w:w="659" w:type="pct"/>
            <w:noWrap/>
            <w:hideMark/>
          </w:tcPr>
          <w:p w14:paraId="35DAE614"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385 358 587</w:t>
            </w:r>
          </w:p>
        </w:tc>
        <w:tc>
          <w:tcPr>
            <w:tcW w:w="659" w:type="pct"/>
            <w:noWrap/>
            <w:hideMark/>
          </w:tcPr>
          <w:p w14:paraId="29B96BE7"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399 519 702</w:t>
            </w:r>
          </w:p>
        </w:tc>
        <w:tc>
          <w:tcPr>
            <w:tcW w:w="659" w:type="pct"/>
            <w:noWrap/>
            <w:hideMark/>
          </w:tcPr>
          <w:p w14:paraId="496D4034"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411 452 067</w:t>
            </w:r>
          </w:p>
        </w:tc>
        <w:tc>
          <w:tcPr>
            <w:tcW w:w="660" w:type="pct"/>
            <w:noWrap/>
            <w:hideMark/>
          </w:tcPr>
          <w:p w14:paraId="7F44E912"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427 280 160</w:t>
            </w:r>
          </w:p>
        </w:tc>
        <w:tc>
          <w:tcPr>
            <w:tcW w:w="659" w:type="pct"/>
            <w:noWrap/>
            <w:hideMark/>
          </w:tcPr>
          <w:p w14:paraId="11AE641C"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442 003 640</w:t>
            </w:r>
          </w:p>
        </w:tc>
      </w:tr>
      <w:tr w:rsidR="00F978FE" w:rsidRPr="00F978FE" w14:paraId="5DA65F8F" w14:textId="77777777" w:rsidTr="0063677D">
        <w:trPr>
          <w:cnfStyle w:val="000000010000" w:firstRow="0" w:lastRow="0" w:firstColumn="0" w:lastColumn="0" w:oddVBand="0" w:evenVBand="0" w:oddHBand="0" w:evenHBand="1" w:firstRowFirstColumn="0" w:firstRowLastColumn="0" w:lastRowFirstColumn="0" w:lastRowLastColumn="0"/>
          <w:trHeight w:val="330"/>
        </w:trPr>
        <w:tc>
          <w:tcPr>
            <w:tcW w:w="1702" w:type="pct"/>
            <w:noWrap/>
            <w:hideMark/>
          </w:tcPr>
          <w:p w14:paraId="2EA2F704" w14:textId="236A89A5" w:rsidR="004E4BBE" w:rsidRPr="00F978FE" w:rsidRDefault="004E4BBE" w:rsidP="004E4BBE">
            <w:pPr>
              <w:pStyle w:val="Tabellentext"/>
              <w:rPr>
                <w:rFonts w:asciiTheme="majorHAnsi" w:hAnsiTheme="majorHAnsi" w:cstheme="majorHAnsi"/>
                <w:b/>
                <w:bCs/>
              </w:rPr>
            </w:pPr>
            <w:r>
              <w:rPr>
                <w:rFonts w:asciiTheme="majorHAnsi" w:hAnsiTheme="majorHAnsi"/>
                <w:b/>
              </w:rPr>
              <w:t>CC Action sociale / aide sociale</w:t>
            </w:r>
          </w:p>
        </w:tc>
        <w:tc>
          <w:tcPr>
            <w:tcW w:w="659" w:type="pct"/>
            <w:noWrap/>
            <w:hideMark/>
          </w:tcPr>
          <w:p w14:paraId="3CEB13C5" w14:textId="77777777" w:rsidR="004E4BBE" w:rsidRPr="00F978FE" w:rsidRDefault="004E4BBE" w:rsidP="004E4BBE">
            <w:pPr>
              <w:pStyle w:val="Tabellentext"/>
              <w:jc w:val="right"/>
              <w:rPr>
                <w:rFonts w:asciiTheme="majorHAnsi" w:hAnsiTheme="majorHAnsi" w:cstheme="majorHAnsi"/>
              </w:rPr>
            </w:pPr>
            <w:r>
              <w:rPr>
                <w:rFonts w:asciiTheme="majorHAnsi" w:hAnsiTheme="majorHAnsi"/>
              </w:rPr>
              <w:t>529 661 157</w:t>
            </w:r>
          </w:p>
        </w:tc>
        <w:tc>
          <w:tcPr>
            <w:tcW w:w="659" w:type="pct"/>
            <w:noWrap/>
            <w:hideMark/>
          </w:tcPr>
          <w:p w14:paraId="216232B4" w14:textId="77777777" w:rsidR="004E4BBE" w:rsidRPr="00F978FE" w:rsidRDefault="004E4BBE" w:rsidP="004E4BBE">
            <w:pPr>
              <w:pStyle w:val="Tabellentext"/>
              <w:jc w:val="right"/>
              <w:rPr>
                <w:rFonts w:asciiTheme="majorHAnsi" w:hAnsiTheme="majorHAnsi" w:cstheme="majorHAnsi"/>
              </w:rPr>
            </w:pPr>
            <w:r>
              <w:rPr>
                <w:rFonts w:asciiTheme="majorHAnsi" w:hAnsiTheme="majorHAnsi"/>
              </w:rPr>
              <w:t>531 214 852</w:t>
            </w:r>
          </w:p>
        </w:tc>
        <w:tc>
          <w:tcPr>
            <w:tcW w:w="659" w:type="pct"/>
            <w:noWrap/>
            <w:hideMark/>
          </w:tcPr>
          <w:p w14:paraId="4F3FD777" w14:textId="77777777" w:rsidR="004E4BBE" w:rsidRPr="00F978FE" w:rsidRDefault="004E4BBE" w:rsidP="004E4BBE">
            <w:pPr>
              <w:pStyle w:val="Tabellentext"/>
              <w:jc w:val="right"/>
              <w:rPr>
                <w:rFonts w:asciiTheme="majorHAnsi" w:hAnsiTheme="majorHAnsi" w:cstheme="majorHAnsi"/>
              </w:rPr>
            </w:pPr>
            <w:r>
              <w:rPr>
                <w:rFonts w:asciiTheme="majorHAnsi" w:hAnsiTheme="majorHAnsi"/>
              </w:rPr>
              <w:t>563 829 475</w:t>
            </w:r>
          </w:p>
        </w:tc>
        <w:tc>
          <w:tcPr>
            <w:tcW w:w="660" w:type="pct"/>
            <w:noWrap/>
            <w:hideMark/>
          </w:tcPr>
          <w:p w14:paraId="5F39D349" w14:textId="77777777" w:rsidR="004E4BBE" w:rsidRPr="00F978FE" w:rsidRDefault="004E4BBE" w:rsidP="004E4BBE">
            <w:pPr>
              <w:pStyle w:val="Tabellentext"/>
              <w:jc w:val="right"/>
              <w:rPr>
                <w:rFonts w:asciiTheme="majorHAnsi" w:hAnsiTheme="majorHAnsi" w:cstheme="majorHAnsi"/>
              </w:rPr>
            </w:pPr>
            <w:r>
              <w:rPr>
                <w:rFonts w:asciiTheme="majorHAnsi" w:hAnsiTheme="majorHAnsi"/>
              </w:rPr>
              <w:t>541 350 617</w:t>
            </w:r>
          </w:p>
        </w:tc>
        <w:tc>
          <w:tcPr>
            <w:tcW w:w="659" w:type="pct"/>
            <w:noWrap/>
            <w:hideMark/>
          </w:tcPr>
          <w:p w14:paraId="486B764E" w14:textId="77777777" w:rsidR="004E4BBE" w:rsidRPr="00F978FE" w:rsidRDefault="004E4BBE" w:rsidP="004E4BBE">
            <w:pPr>
              <w:pStyle w:val="Tabellentext"/>
              <w:jc w:val="right"/>
              <w:rPr>
                <w:rFonts w:asciiTheme="majorHAnsi" w:hAnsiTheme="majorHAnsi" w:cstheme="majorHAnsi"/>
              </w:rPr>
            </w:pPr>
            <w:r>
              <w:rPr>
                <w:rFonts w:asciiTheme="majorHAnsi" w:hAnsiTheme="majorHAnsi"/>
              </w:rPr>
              <w:t>587 512 589</w:t>
            </w:r>
          </w:p>
        </w:tc>
      </w:tr>
      <w:tr w:rsidR="004E4BBE" w:rsidRPr="00A5344E" w14:paraId="7631EE16" w14:textId="77777777" w:rsidTr="0063677D">
        <w:trPr>
          <w:cnfStyle w:val="000000100000" w:firstRow="0" w:lastRow="0" w:firstColumn="0" w:lastColumn="0" w:oddVBand="0" w:evenVBand="0" w:oddHBand="1" w:evenHBand="0" w:firstRowFirstColumn="0" w:firstRowLastColumn="0" w:lastRowFirstColumn="0" w:lastRowLastColumn="0"/>
          <w:trHeight w:val="330"/>
        </w:trPr>
        <w:tc>
          <w:tcPr>
            <w:tcW w:w="1702" w:type="pct"/>
            <w:noWrap/>
            <w:hideMark/>
          </w:tcPr>
          <w:p w14:paraId="52ACC6E4"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CC Assurances sociales</w:t>
            </w:r>
          </w:p>
        </w:tc>
        <w:tc>
          <w:tcPr>
            <w:tcW w:w="659" w:type="pct"/>
            <w:noWrap/>
            <w:hideMark/>
          </w:tcPr>
          <w:p w14:paraId="4956FFC8"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239 428 922</w:t>
            </w:r>
          </w:p>
        </w:tc>
        <w:tc>
          <w:tcPr>
            <w:tcW w:w="659" w:type="pct"/>
            <w:noWrap/>
            <w:hideMark/>
          </w:tcPr>
          <w:p w14:paraId="299F652A"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249 126 788</w:t>
            </w:r>
          </w:p>
        </w:tc>
        <w:tc>
          <w:tcPr>
            <w:tcW w:w="659" w:type="pct"/>
            <w:noWrap/>
            <w:hideMark/>
          </w:tcPr>
          <w:p w14:paraId="62F8B700"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246 749 623</w:t>
            </w:r>
          </w:p>
        </w:tc>
        <w:tc>
          <w:tcPr>
            <w:tcW w:w="660" w:type="pct"/>
            <w:noWrap/>
            <w:hideMark/>
          </w:tcPr>
          <w:p w14:paraId="7A91646C"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242 820 066</w:t>
            </w:r>
          </w:p>
        </w:tc>
        <w:tc>
          <w:tcPr>
            <w:tcW w:w="659" w:type="pct"/>
            <w:noWrap/>
            <w:hideMark/>
          </w:tcPr>
          <w:p w14:paraId="36C672E1"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248 500 006</w:t>
            </w:r>
          </w:p>
        </w:tc>
      </w:tr>
      <w:tr w:rsidR="004E4BBE" w:rsidRPr="00A5344E" w14:paraId="47144392" w14:textId="77777777" w:rsidTr="0063677D">
        <w:trPr>
          <w:cnfStyle w:val="000000010000" w:firstRow="0" w:lastRow="0" w:firstColumn="0" w:lastColumn="0" w:oddVBand="0" w:evenVBand="0" w:oddHBand="0" w:evenHBand="1" w:firstRowFirstColumn="0" w:firstRowLastColumn="0" w:lastRowFirstColumn="0" w:lastRowLastColumn="0"/>
          <w:trHeight w:val="330"/>
        </w:trPr>
        <w:tc>
          <w:tcPr>
            <w:tcW w:w="1702" w:type="pct"/>
            <w:noWrap/>
            <w:hideMark/>
          </w:tcPr>
          <w:p w14:paraId="7487C5B7"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CC Transports publics</w:t>
            </w:r>
          </w:p>
        </w:tc>
        <w:tc>
          <w:tcPr>
            <w:tcW w:w="659" w:type="pct"/>
            <w:noWrap/>
            <w:hideMark/>
          </w:tcPr>
          <w:p w14:paraId="17B8E3E9"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126 539 137</w:t>
            </w:r>
          </w:p>
        </w:tc>
        <w:tc>
          <w:tcPr>
            <w:tcW w:w="659" w:type="pct"/>
            <w:noWrap/>
            <w:hideMark/>
          </w:tcPr>
          <w:p w14:paraId="2B0C20D0"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140 239 189</w:t>
            </w:r>
          </w:p>
        </w:tc>
        <w:tc>
          <w:tcPr>
            <w:tcW w:w="659" w:type="pct"/>
            <w:noWrap/>
            <w:hideMark/>
          </w:tcPr>
          <w:p w14:paraId="0B5383C3"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134 325 606</w:t>
            </w:r>
          </w:p>
        </w:tc>
        <w:tc>
          <w:tcPr>
            <w:tcW w:w="660" w:type="pct"/>
            <w:noWrap/>
            <w:hideMark/>
          </w:tcPr>
          <w:p w14:paraId="1DF28C29"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150 865 555</w:t>
            </w:r>
          </w:p>
        </w:tc>
        <w:tc>
          <w:tcPr>
            <w:tcW w:w="659" w:type="pct"/>
            <w:noWrap/>
            <w:hideMark/>
          </w:tcPr>
          <w:p w14:paraId="7CF7BCD5"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150 504 394</w:t>
            </w:r>
          </w:p>
        </w:tc>
      </w:tr>
      <w:tr w:rsidR="004E4BBE" w:rsidRPr="00A5344E" w14:paraId="05623A39" w14:textId="77777777" w:rsidTr="0063677D">
        <w:trPr>
          <w:cnfStyle w:val="000000100000" w:firstRow="0" w:lastRow="0" w:firstColumn="0" w:lastColumn="0" w:oddVBand="0" w:evenVBand="0" w:oddHBand="1" w:evenHBand="0" w:firstRowFirstColumn="0" w:firstRowLastColumn="0" w:lastRowFirstColumn="0" w:lastRowLastColumn="0"/>
          <w:trHeight w:val="330"/>
        </w:trPr>
        <w:tc>
          <w:tcPr>
            <w:tcW w:w="1702" w:type="pct"/>
            <w:noWrap/>
            <w:hideMark/>
          </w:tcPr>
          <w:p w14:paraId="6F710C2E"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CC « Nouvelle répartition des tâches »</w:t>
            </w:r>
          </w:p>
        </w:tc>
        <w:tc>
          <w:tcPr>
            <w:tcW w:w="659" w:type="pct"/>
            <w:noWrap/>
            <w:hideMark/>
          </w:tcPr>
          <w:p w14:paraId="5EED403D"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191 182 170</w:t>
            </w:r>
          </w:p>
        </w:tc>
        <w:tc>
          <w:tcPr>
            <w:tcW w:w="659" w:type="pct"/>
            <w:noWrap/>
            <w:hideMark/>
          </w:tcPr>
          <w:p w14:paraId="4EC643FE"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189 210 000</w:t>
            </w:r>
          </w:p>
        </w:tc>
        <w:tc>
          <w:tcPr>
            <w:tcW w:w="659" w:type="pct"/>
            <w:noWrap/>
            <w:hideMark/>
          </w:tcPr>
          <w:p w14:paraId="272B4D54"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192 950 000</w:t>
            </w:r>
          </w:p>
        </w:tc>
        <w:tc>
          <w:tcPr>
            <w:tcW w:w="660" w:type="pct"/>
            <w:noWrap/>
            <w:hideMark/>
          </w:tcPr>
          <w:p w14:paraId="43425221"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193 000 000</w:t>
            </w:r>
          </w:p>
        </w:tc>
        <w:tc>
          <w:tcPr>
            <w:tcW w:w="659" w:type="pct"/>
            <w:noWrap/>
            <w:hideMark/>
          </w:tcPr>
          <w:p w14:paraId="625581D2"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193 010 000</w:t>
            </w:r>
          </w:p>
        </w:tc>
      </w:tr>
      <w:tr w:rsidR="004E4BBE" w:rsidRPr="00A5344E" w14:paraId="445F9C9F" w14:textId="77777777" w:rsidTr="0063677D">
        <w:trPr>
          <w:cnfStyle w:val="000000010000" w:firstRow="0" w:lastRow="0" w:firstColumn="0" w:lastColumn="0" w:oddVBand="0" w:evenVBand="0" w:oddHBand="0" w:evenHBand="1" w:firstRowFirstColumn="0" w:firstRowLastColumn="0" w:lastRowFirstColumn="0" w:lastRowLastColumn="0"/>
          <w:trHeight w:val="330"/>
        </w:trPr>
        <w:tc>
          <w:tcPr>
            <w:tcW w:w="1702" w:type="pct"/>
            <w:noWrap/>
            <w:hideMark/>
          </w:tcPr>
          <w:p w14:paraId="24604386"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Charges totales des communes</w:t>
            </w:r>
          </w:p>
        </w:tc>
        <w:tc>
          <w:tcPr>
            <w:tcW w:w="659" w:type="pct"/>
            <w:noWrap/>
            <w:hideMark/>
          </w:tcPr>
          <w:p w14:paraId="1C0B229B"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1 472 169 973</w:t>
            </w:r>
          </w:p>
        </w:tc>
        <w:tc>
          <w:tcPr>
            <w:tcW w:w="659" w:type="pct"/>
            <w:noWrap/>
            <w:hideMark/>
          </w:tcPr>
          <w:p w14:paraId="723B4D40"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1 509 310 531</w:t>
            </w:r>
          </w:p>
        </w:tc>
        <w:tc>
          <w:tcPr>
            <w:tcW w:w="659" w:type="pct"/>
            <w:noWrap/>
            <w:hideMark/>
          </w:tcPr>
          <w:p w14:paraId="680F9240"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1 549 306 771</w:t>
            </w:r>
          </w:p>
        </w:tc>
        <w:tc>
          <w:tcPr>
            <w:tcW w:w="660" w:type="pct"/>
            <w:noWrap/>
            <w:hideMark/>
          </w:tcPr>
          <w:p w14:paraId="386A80C9"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1 555 316 398</w:t>
            </w:r>
          </w:p>
        </w:tc>
        <w:tc>
          <w:tcPr>
            <w:tcW w:w="659" w:type="pct"/>
            <w:noWrap/>
            <w:hideMark/>
          </w:tcPr>
          <w:p w14:paraId="68DB6932"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1 621 530 629</w:t>
            </w:r>
          </w:p>
        </w:tc>
      </w:tr>
    </w:tbl>
    <w:p w14:paraId="23086A76" w14:textId="014692CE" w:rsidR="004E4BBE" w:rsidRPr="00A5344E" w:rsidRDefault="0063677D" w:rsidP="004E4BBE">
      <w:pPr>
        <w:pStyle w:val="Textkrper"/>
        <w:keepNext/>
        <w:rPr>
          <w:rFonts w:asciiTheme="majorHAnsi" w:hAnsiTheme="majorHAnsi" w:cstheme="majorHAnsi"/>
        </w:rPr>
      </w:pPr>
      <w:r>
        <w:rPr>
          <w:rFonts w:asciiTheme="majorHAnsi" w:hAnsiTheme="majorHAnsi" w:cstheme="majorHAnsi"/>
          <w:noProof/>
        </w:rPr>
        <w:drawing>
          <wp:inline distT="0" distB="0" distL="0" distR="0" wp14:anchorId="562B700F" wp14:editId="5B76C6AA">
            <wp:extent cx="5650939" cy="2847975"/>
            <wp:effectExtent l="0" t="0" r="6985" b="0"/>
            <wp:docPr id="44807264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3339" cy="2849185"/>
                    </a:xfrm>
                    <a:prstGeom prst="rect">
                      <a:avLst/>
                    </a:prstGeom>
                    <a:noFill/>
                  </pic:spPr>
                </pic:pic>
              </a:graphicData>
            </a:graphic>
          </wp:inline>
        </w:drawing>
      </w:r>
    </w:p>
    <w:p w14:paraId="3885F9B1" w14:textId="77777777" w:rsidR="004E4BBE" w:rsidRPr="00A5344E" w:rsidRDefault="004E4BBE" w:rsidP="004E4BBE">
      <w:pPr>
        <w:keepNext/>
        <w:rPr>
          <w:rFonts w:asciiTheme="majorHAnsi" w:hAnsiTheme="majorHAnsi" w:cstheme="majorHAnsi"/>
        </w:rPr>
      </w:pPr>
    </w:p>
    <w:p w14:paraId="47AFBA6F" w14:textId="77777777" w:rsidR="004E4BBE" w:rsidRPr="00A5344E" w:rsidRDefault="004E4BBE" w:rsidP="004E4BBE">
      <w:pPr>
        <w:pStyle w:val="berschrift2nummeriert"/>
        <w:rPr>
          <w:rFonts w:cstheme="majorHAnsi"/>
        </w:rPr>
      </w:pPr>
      <w:bookmarkStart w:id="18" w:name="_Toc196227245"/>
      <w:r>
        <w:t>Compensation des charges de traitements du corps enseignant</w:t>
      </w:r>
      <w:bookmarkEnd w:id="18"/>
    </w:p>
    <w:p w14:paraId="0478CD80" w14:textId="2BB5C59C" w:rsidR="004E4BBE" w:rsidRPr="00A5344E" w:rsidRDefault="004E4BBE" w:rsidP="004E4BBE">
      <w:pPr>
        <w:rPr>
          <w:rFonts w:asciiTheme="majorHAnsi" w:hAnsiTheme="majorHAnsi" w:cstheme="majorHAnsi"/>
        </w:rPr>
      </w:pPr>
      <w:r>
        <w:rPr>
          <w:rFonts w:asciiTheme="majorHAnsi" w:hAnsiTheme="majorHAnsi"/>
        </w:rPr>
        <w:t>Les charges communales liées à la compensation des coûts de rémunération du corps enseignant sont passées d’environ 385 millions de francs en 2020 à près de 442 millions de francs en 2024, ce qui représente une progression assez importante de 14,7%.</w:t>
      </w:r>
    </w:p>
    <w:p w14:paraId="7CE51E61" w14:textId="77777777" w:rsidR="008270AB" w:rsidRPr="00A5344E" w:rsidRDefault="008270AB" w:rsidP="004E4BBE">
      <w:pPr>
        <w:rPr>
          <w:rFonts w:asciiTheme="majorHAnsi" w:hAnsiTheme="majorHAnsi" w:cstheme="majorHAnsi"/>
        </w:rPr>
      </w:pPr>
    </w:p>
    <w:p w14:paraId="26EFA50B" w14:textId="126D8198" w:rsidR="004E4BBE" w:rsidRPr="00A5344E" w:rsidRDefault="004E4BBE" w:rsidP="004E4BBE">
      <w:pPr>
        <w:rPr>
          <w:rFonts w:asciiTheme="majorHAnsi" w:hAnsiTheme="majorHAnsi" w:cstheme="majorHAnsi"/>
        </w:rPr>
      </w:pPr>
      <w:r>
        <w:rPr>
          <w:rFonts w:asciiTheme="majorHAnsi" w:hAnsiTheme="majorHAnsi"/>
        </w:rPr>
        <w:t>Cette augmentation n’est pas linéaire, car elle s’explique par l’évolution du nombre d’élèves, mais aussi, la plupart du temps, par des décisions politiques et juridiques (p. ex. augmentation salariale, tailles des classes). Les charges que représentent les traitements du corps enseignant sont financées à concurrence de 70 pour cent par le canton et de 30 pour cent par les communes.</w:t>
      </w:r>
    </w:p>
    <w:p w14:paraId="450BB21A" w14:textId="477DF9F2" w:rsidR="004E4BBE" w:rsidRPr="00053EE5" w:rsidRDefault="004E4BBE" w:rsidP="004E4BBE">
      <w:pPr>
        <w:pStyle w:val="berschrift2nummeriert"/>
        <w:rPr>
          <w:rFonts w:cstheme="majorHAnsi"/>
        </w:rPr>
      </w:pPr>
      <w:bookmarkStart w:id="19" w:name="_Toc196227246"/>
      <w:r>
        <w:lastRenderedPageBreak/>
        <w:t>Compensation des charges de l’action sociale</w:t>
      </w:r>
      <w:bookmarkEnd w:id="19"/>
    </w:p>
    <w:p w14:paraId="36E77853" w14:textId="533FB86D" w:rsidR="004E4BBE" w:rsidRDefault="004E4BBE" w:rsidP="004E4BBE">
      <w:pPr>
        <w:rPr>
          <w:rFonts w:asciiTheme="majorHAnsi" w:hAnsiTheme="majorHAnsi" w:cstheme="majorHAnsi"/>
        </w:rPr>
      </w:pPr>
      <w:r>
        <w:rPr>
          <w:rFonts w:asciiTheme="majorHAnsi" w:hAnsiTheme="majorHAnsi"/>
        </w:rPr>
        <w:t>Les charges liées à l’aide sociale individuelle et institutionnelle sont financées à parité par le canton et les communes (50/50). La part de chaque commune est déterminée en fonction de sa population résidante. Les charges communales liées à la compensation des coûts de l’action sociale sont passées de 530 millions de francs en 2020 à 588 millions de francs en 2024 (CHF +58 mio, soit +10,9%).</w:t>
      </w:r>
    </w:p>
    <w:p w14:paraId="29741875" w14:textId="77777777" w:rsidR="008F292C" w:rsidRPr="00A5344E" w:rsidRDefault="008F292C" w:rsidP="004E4BBE">
      <w:pPr>
        <w:rPr>
          <w:rFonts w:asciiTheme="majorHAnsi" w:hAnsiTheme="majorHAnsi" w:cstheme="majorHAnsi"/>
        </w:rPr>
      </w:pPr>
    </w:p>
    <w:p w14:paraId="662A9610" w14:textId="44670367" w:rsidR="004E4BBE" w:rsidRPr="00A5344E" w:rsidRDefault="004E4BBE" w:rsidP="004E4BBE">
      <w:pPr>
        <w:rPr>
          <w:rFonts w:asciiTheme="majorHAnsi" w:hAnsiTheme="majorHAnsi" w:cstheme="majorHAnsi"/>
        </w:rPr>
      </w:pPr>
      <w:r>
        <w:rPr>
          <w:rFonts w:asciiTheme="majorHAnsi" w:hAnsiTheme="majorHAnsi"/>
        </w:rPr>
        <w:t xml:space="preserve">Le canton et les communes n’ont qu’une influence limitée sur les facteurs déterminant le coût de l’aide sociale (p. ex. nombre de bénéficiaires, durée moyenne de l’aide). L’évolution du nombre de cas, qui impacte le coût de l’aide sociale individuelle, a de multiples causes, dont certaines sont difficilement quantifiables. L’aide sociale est en particulier impactée par la situation conjoncturelle et les mutations structurelles du marché du travail, qui réduisent le nombre d’emplois facilement accessibles et augmentent la précarité de l’emploi. Autres facteurs s’ajoutant aux difficultés d’accès au marché du travail : les évolutions sociales non conjoncturelles, comme l’augmentation des familles monoparentales ou du nombre de personnes </w:t>
      </w:r>
      <w:r w:rsidR="004E6F5B">
        <w:rPr>
          <w:rFonts w:asciiTheme="majorHAnsi" w:hAnsiTheme="majorHAnsi"/>
        </w:rPr>
        <w:t xml:space="preserve">issues des flux migratoires qui sont </w:t>
      </w:r>
      <w:r>
        <w:rPr>
          <w:rFonts w:asciiTheme="majorHAnsi" w:hAnsiTheme="majorHAnsi"/>
        </w:rPr>
        <w:t>peu formées ou sans formation reconnue.</w:t>
      </w:r>
    </w:p>
    <w:p w14:paraId="1726501E" w14:textId="4174FE90" w:rsidR="004E4BBE" w:rsidRPr="00A5344E" w:rsidRDefault="004E4BBE" w:rsidP="004E4BBE">
      <w:pPr>
        <w:pStyle w:val="berschrift2nummeriert"/>
        <w:rPr>
          <w:rFonts w:cstheme="majorHAnsi"/>
        </w:rPr>
      </w:pPr>
      <w:bookmarkStart w:id="20" w:name="_Toc196227247"/>
      <w:r>
        <w:t>Compensation des charges de prestations complémentaires à l’AVS/AI et d’allocations familiales pour personnes sans emploi (assurances sociales)</w:t>
      </w:r>
      <w:bookmarkEnd w:id="20"/>
    </w:p>
    <w:p w14:paraId="6C48BAB3" w14:textId="3D51C4E7" w:rsidR="004E4BBE" w:rsidRDefault="004E4BBE" w:rsidP="004E4BBE">
      <w:pPr>
        <w:rPr>
          <w:rFonts w:asciiTheme="majorHAnsi" w:hAnsiTheme="majorHAnsi" w:cstheme="majorHAnsi"/>
        </w:rPr>
      </w:pPr>
      <w:r>
        <w:rPr>
          <w:rFonts w:asciiTheme="majorHAnsi" w:hAnsiTheme="majorHAnsi"/>
        </w:rPr>
        <w:t xml:space="preserve">Les charges liées à la compensation des prestations complémentaires à l’AVS/AI (PC) et des allocations familiales pour personnes sans emploi (ALLFA) sont financées à parité par le canton et les communes (50/50). La part de chaque commune est calculée en fonction de sa population résidante. </w:t>
      </w:r>
      <w:r w:rsidR="004E6F5B">
        <w:rPr>
          <w:rFonts w:asciiTheme="majorHAnsi" w:hAnsiTheme="majorHAnsi"/>
        </w:rPr>
        <w:t>Pour l’ensemble des communes</w:t>
      </w:r>
      <w:r>
        <w:rPr>
          <w:rFonts w:asciiTheme="majorHAnsi" w:hAnsiTheme="majorHAnsi"/>
        </w:rPr>
        <w:t xml:space="preserve">, ces charges s’élèvent à 249 millions de francs </w:t>
      </w:r>
      <w:r w:rsidR="004E6F5B">
        <w:rPr>
          <w:rFonts w:asciiTheme="majorHAnsi" w:hAnsiTheme="majorHAnsi"/>
        </w:rPr>
        <w:t>en 2024</w:t>
      </w:r>
      <w:r>
        <w:rPr>
          <w:rFonts w:asciiTheme="majorHAnsi" w:hAnsiTheme="majorHAnsi"/>
        </w:rPr>
        <w:t>, contre 239 millions de francs en 2020.</w:t>
      </w:r>
    </w:p>
    <w:p w14:paraId="3F8F4309" w14:textId="77777777" w:rsidR="008F292C" w:rsidRPr="00A5344E" w:rsidRDefault="008F292C" w:rsidP="004E4BBE">
      <w:pPr>
        <w:rPr>
          <w:rFonts w:asciiTheme="majorHAnsi" w:hAnsiTheme="majorHAnsi" w:cstheme="majorHAnsi"/>
        </w:rPr>
      </w:pPr>
    </w:p>
    <w:p w14:paraId="4C300F40" w14:textId="025F6306" w:rsidR="004E4BBE" w:rsidRPr="00A5344E" w:rsidRDefault="004E4BBE" w:rsidP="004E4BBE">
      <w:pPr>
        <w:rPr>
          <w:rFonts w:asciiTheme="majorHAnsi" w:hAnsiTheme="majorHAnsi" w:cstheme="majorHAnsi"/>
        </w:rPr>
      </w:pPr>
      <w:r>
        <w:rPr>
          <w:rFonts w:asciiTheme="majorHAnsi" w:hAnsiTheme="majorHAnsi"/>
        </w:rPr>
        <w:t>Le canton n’a pas d’influence directe sur leur évolution, les charges d’AVS, d’AI et de PC étant déterminées par le droit fédéral. Les facteurs exogènes en sont l’évolution démographique (pyramide des âges), le nombre de personnes assurées, la conjoncture économique et l’inflation.</w:t>
      </w:r>
    </w:p>
    <w:p w14:paraId="155074F2" w14:textId="77777777" w:rsidR="004E4BBE" w:rsidRPr="00A5344E" w:rsidRDefault="004E4BBE" w:rsidP="004E4BBE">
      <w:pPr>
        <w:pStyle w:val="berschrift2nummeriert"/>
        <w:rPr>
          <w:rFonts w:cstheme="majorHAnsi"/>
        </w:rPr>
      </w:pPr>
      <w:bookmarkStart w:id="21" w:name="_Toc196227248"/>
      <w:r>
        <w:t>Compensation des charges de transports publics</w:t>
      </w:r>
      <w:bookmarkEnd w:id="21"/>
    </w:p>
    <w:p w14:paraId="00D37E95" w14:textId="0F00BC16" w:rsidR="004E4BBE" w:rsidRDefault="004E4BBE" w:rsidP="004E4BBE">
      <w:pPr>
        <w:rPr>
          <w:rFonts w:asciiTheme="majorHAnsi" w:hAnsiTheme="majorHAnsi" w:cstheme="majorHAnsi"/>
        </w:rPr>
      </w:pPr>
      <w:r>
        <w:rPr>
          <w:rFonts w:asciiTheme="majorHAnsi" w:hAnsiTheme="majorHAnsi"/>
        </w:rPr>
        <w:t xml:space="preserve">Le canton finance les deux tiers des charges de transports publics et les communes, le tiers restant. Deux tiers de la part de chaque commune </w:t>
      </w:r>
      <w:r w:rsidR="0063677D">
        <w:rPr>
          <w:rFonts w:asciiTheme="majorHAnsi" w:hAnsiTheme="majorHAnsi"/>
        </w:rPr>
        <w:t>sont</w:t>
      </w:r>
      <w:r>
        <w:rPr>
          <w:rFonts w:asciiTheme="majorHAnsi" w:hAnsiTheme="majorHAnsi"/>
        </w:rPr>
        <w:t xml:space="preserve"> calculé</w:t>
      </w:r>
      <w:r w:rsidR="0063677D">
        <w:rPr>
          <w:rFonts w:asciiTheme="majorHAnsi" w:hAnsiTheme="majorHAnsi"/>
        </w:rPr>
        <w:t>s</w:t>
      </w:r>
      <w:r>
        <w:rPr>
          <w:rFonts w:asciiTheme="majorHAnsi" w:hAnsiTheme="majorHAnsi"/>
        </w:rPr>
        <w:t xml:space="preserve"> en fonction de son offre de transports publics et un tiers, de sa population résidante.</w:t>
      </w:r>
    </w:p>
    <w:p w14:paraId="3F50CDE4" w14:textId="77777777" w:rsidR="00BA2D93" w:rsidRPr="00A5344E" w:rsidRDefault="00BA2D93" w:rsidP="004E4BBE">
      <w:pPr>
        <w:rPr>
          <w:rFonts w:asciiTheme="majorHAnsi" w:hAnsiTheme="majorHAnsi" w:cstheme="majorHAnsi"/>
        </w:rPr>
      </w:pPr>
    </w:p>
    <w:p w14:paraId="4CABC058" w14:textId="7749AAF1" w:rsidR="004E4BBE" w:rsidRPr="00A5344E" w:rsidRDefault="004E4BBE" w:rsidP="004E4BBE">
      <w:pPr>
        <w:rPr>
          <w:rFonts w:asciiTheme="majorHAnsi" w:hAnsiTheme="majorHAnsi" w:cstheme="majorHAnsi"/>
        </w:rPr>
      </w:pPr>
      <w:r>
        <w:rPr>
          <w:rFonts w:asciiTheme="majorHAnsi" w:hAnsiTheme="majorHAnsi"/>
        </w:rPr>
        <w:t xml:space="preserve">L’évolution des coûts est directement liée à l’offre et à l’investissement. </w:t>
      </w:r>
      <w:r w:rsidR="000748C1">
        <w:rPr>
          <w:rFonts w:asciiTheme="majorHAnsi" w:hAnsiTheme="majorHAnsi"/>
        </w:rPr>
        <w:t>Avec le développement de l’offre de transports publics et le financement de nouvelles infrastructures, c</w:t>
      </w:r>
      <w:r>
        <w:rPr>
          <w:rFonts w:asciiTheme="majorHAnsi" w:hAnsiTheme="majorHAnsi"/>
        </w:rPr>
        <w:t>es dépenses ont considérablement augmenté depuis 2020</w:t>
      </w:r>
      <w:r w:rsidR="000748C1">
        <w:rPr>
          <w:rFonts w:asciiTheme="majorHAnsi" w:hAnsiTheme="majorHAnsi"/>
        </w:rPr>
        <w:t xml:space="preserve">, principalement pour les </w:t>
      </w:r>
      <w:r>
        <w:rPr>
          <w:rFonts w:asciiTheme="majorHAnsi" w:hAnsiTheme="majorHAnsi"/>
        </w:rPr>
        <w:t>raisons suivantes :</w:t>
      </w:r>
    </w:p>
    <w:p w14:paraId="73FEBBDF" w14:textId="77777777" w:rsidR="004E4BBE" w:rsidRPr="00A5344E" w:rsidRDefault="004E4BBE" w:rsidP="004E4BBE">
      <w:pPr>
        <w:pStyle w:val="Aufzhlungszeichen"/>
        <w:contextualSpacing w:val="0"/>
        <w:rPr>
          <w:rFonts w:asciiTheme="majorHAnsi" w:hAnsiTheme="majorHAnsi" w:cstheme="majorHAnsi"/>
        </w:rPr>
      </w:pPr>
      <w:r>
        <w:rPr>
          <w:rFonts w:asciiTheme="majorHAnsi" w:hAnsiTheme="majorHAnsi"/>
        </w:rPr>
        <w:t>améliorations ciblées apportées à l’offre de transports publics dans le cadre de l’arrêté sur l’offre des transports publics 2018-2021 adopté par le Grand Conseil ;</w:t>
      </w:r>
    </w:p>
    <w:p w14:paraId="0E7A3F65" w14:textId="77777777" w:rsidR="004E4BBE" w:rsidRPr="00A5344E" w:rsidRDefault="004E4BBE" w:rsidP="004E4BBE">
      <w:pPr>
        <w:pStyle w:val="Aufzhlungszeichen"/>
        <w:contextualSpacing w:val="0"/>
        <w:rPr>
          <w:rFonts w:asciiTheme="majorHAnsi" w:hAnsiTheme="majorHAnsi" w:cstheme="majorHAnsi"/>
        </w:rPr>
      </w:pPr>
      <w:r>
        <w:rPr>
          <w:rFonts w:asciiTheme="majorHAnsi" w:hAnsiTheme="majorHAnsi"/>
        </w:rPr>
        <w:t>importantes acquisitions de matériel roulant ainsi que construction et agrandissement de dépôts par plusieurs entreprises de transport. Les coûts induits de ces achats et investissements augmentent les indemnités pour les transports publics ;</w:t>
      </w:r>
    </w:p>
    <w:p w14:paraId="1EA01870" w14:textId="39305DFC" w:rsidR="004E4BBE" w:rsidRPr="00CD1498" w:rsidRDefault="004E4BBE" w:rsidP="00D249E8">
      <w:pPr>
        <w:pStyle w:val="Aufzhlungszeichen"/>
        <w:contextualSpacing w:val="0"/>
        <w:rPr>
          <w:rFonts w:asciiTheme="majorHAnsi" w:hAnsiTheme="majorHAnsi" w:cstheme="majorHAnsi"/>
        </w:rPr>
      </w:pPr>
      <w:r>
        <w:rPr>
          <w:rFonts w:asciiTheme="majorHAnsi" w:hAnsiTheme="majorHAnsi"/>
        </w:rPr>
        <w:t>augmentation des dépenses d’investissement pour la réalisation des deux grands chantiers de réaménagement de la gare de Berne (nouvelle gare RBS souterraine et installations publiques CFF).</w:t>
      </w:r>
    </w:p>
    <w:p w14:paraId="52884093" w14:textId="77777777" w:rsidR="004E4BBE" w:rsidRPr="00A5344E" w:rsidRDefault="004E4BBE" w:rsidP="004E4BBE">
      <w:pPr>
        <w:pStyle w:val="berschrift2nummeriert"/>
        <w:rPr>
          <w:rFonts w:cstheme="majorHAnsi"/>
        </w:rPr>
      </w:pPr>
      <w:bookmarkStart w:id="22" w:name="_Toc196227249"/>
      <w:r>
        <w:lastRenderedPageBreak/>
        <w:t>Compensation des charges « nouvelle répartition des tâches »</w:t>
      </w:r>
      <w:bookmarkEnd w:id="22"/>
    </w:p>
    <w:p w14:paraId="370B3BA7" w14:textId="3C9D502B" w:rsidR="004E4BBE" w:rsidRPr="00A5344E" w:rsidRDefault="004E4BBE" w:rsidP="004E4BBE">
      <w:pPr>
        <w:rPr>
          <w:rFonts w:asciiTheme="majorHAnsi" w:hAnsiTheme="majorHAnsi" w:cstheme="majorHAnsi"/>
        </w:rPr>
      </w:pPr>
      <w:r>
        <w:rPr>
          <w:rFonts w:asciiTheme="majorHAnsi" w:hAnsiTheme="majorHAnsi"/>
        </w:rPr>
        <w:t>La compensation des charges « nouvelle répartition des tâches » a été conçue à l’occasion de la révision de la LPFC qui a pris effet le 1</w:t>
      </w:r>
      <w:r>
        <w:rPr>
          <w:rFonts w:asciiTheme="majorHAnsi" w:hAnsiTheme="majorHAnsi"/>
          <w:vertAlign w:val="superscript"/>
        </w:rPr>
        <w:t>er</w:t>
      </w:r>
      <w:r>
        <w:rPr>
          <w:rFonts w:asciiTheme="majorHAnsi" w:hAnsiTheme="majorHAnsi"/>
        </w:rPr>
        <w:t> janvier 2012. Cet instrument compense entre eux les transferts de charges résultant de toute nouvelle répartition des tâches entre le canton et les communes. Un solde en faveur du canton est compensé par des parts communales ; inversement, un solde en faveur des communes est compensé par des prestations complémentaires du canton. La part de chaque commune est calculée en fonction de sa population résidante.</w:t>
      </w:r>
    </w:p>
    <w:p w14:paraId="4E200850" w14:textId="77777777" w:rsidR="008270AB" w:rsidRPr="00A5344E" w:rsidRDefault="008270AB" w:rsidP="004E4BBE">
      <w:pPr>
        <w:rPr>
          <w:rFonts w:asciiTheme="majorHAnsi" w:hAnsiTheme="majorHAnsi" w:cstheme="majorHAnsi"/>
        </w:rPr>
      </w:pPr>
    </w:p>
    <w:p w14:paraId="44FC54C1" w14:textId="476FFC36" w:rsidR="004E4BBE" w:rsidRPr="00A5344E" w:rsidRDefault="004E4BBE" w:rsidP="004E4BBE">
      <w:pPr>
        <w:rPr>
          <w:rFonts w:asciiTheme="majorHAnsi" w:hAnsiTheme="majorHAnsi" w:cstheme="majorHAnsi"/>
        </w:rPr>
      </w:pPr>
      <w:r>
        <w:rPr>
          <w:rFonts w:asciiTheme="majorHAnsi" w:hAnsiTheme="majorHAnsi"/>
        </w:rPr>
        <w:t>La baisse d’environ 2 millions de francs entre 2020 et 2021 est due à l’entrée en vigueur de la loi du 3 décembre 2019 sur l’aide sociale dans le domaine de l’asile et des réfugiés (LAAR ; RSB 861.1), en particulier à son article 67, ainsi qu’à celle de la loi du 9 décembre 2019 portant introduction de la loi fédérale sur l’asile et de la loi fédérale sur les étrangers et l’intégration (Li LFAE ; RSB 122.20), surtout son article 47.</w:t>
      </w:r>
    </w:p>
    <w:p w14:paraId="3BDC3698" w14:textId="77777777" w:rsidR="008270AB" w:rsidRPr="00A5344E" w:rsidRDefault="008270AB" w:rsidP="004E4BBE">
      <w:pPr>
        <w:rPr>
          <w:rFonts w:asciiTheme="majorHAnsi" w:hAnsiTheme="majorHAnsi" w:cstheme="majorHAnsi"/>
        </w:rPr>
      </w:pPr>
    </w:p>
    <w:p w14:paraId="1F4C36D9" w14:textId="78D01B46" w:rsidR="004E4BBE" w:rsidRPr="00A5344E" w:rsidRDefault="004E4BBE" w:rsidP="004E4BBE">
      <w:pPr>
        <w:rPr>
          <w:rFonts w:asciiTheme="majorHAnsi" w:hAnsiTheme="majorHAnsi" w:cstheme="majorHAnsi"/>
        </w:rPr>
      </w:pPr>
      <w:r>
        <w:rPr>
          <w:rFonts w:asciiTheme="majorHAnsi" w:hAnsiTheme="majorHAnsi"/>
        </w:rPr>
        <w:t>Notons que les transferts de charges pris en compte avec l</w:t>
      </w:r>
      <w:r w:rsidR="000B3C23">
        <w:rPr>
          <w:rFonts w:asciiTheme="majorHAnsi" w:hAnsiTheme="majorHAnsi"/>
        </w:rPr>
        <w:t>’</w:t>
      </w:r>
      <w:r>
        <w:rPr>
          <w:rFonts w:asciiTheme="majorHAnsi" w:hAnsiTheme="majorHAnsi"/>
        </w:rPr>
        <w:t>instrument « nouvelle répartition des tâches » concernent aussi des tâches et des flux financiers qui ne sont pas régis par la LPFC. Dans le cadre de cette compensation, 2,0 millions de francs sont par exemple mis à la charge des communes qui participent à POLYCOM, le réseau radio de sécurité du canton.</w:t>
      </w:r>
    </w:p>
    <w:p w14:paraId="5ABCEE18" w14:textId="77777777" w:rsidR="008270AB" w:rsidRPr="00A5344E" w:rsidRDefault="008270AB" w:rsidP="004E4BBE">
      <w:pPr>
        <w:rPr>
          <w:rFonts w:asciiTheme="majorHAnsi" w:hAnsiTheme="majorHAnsi" w:cstheme="majorHAnsi"/>
        </w:rPr>
      </w:pPr>
    </w:p>
    <w:p w14:paraId="032F1DBB" w14:textId="5A7276BD" w:rsidR="00984F56" w:rsidRPr="00A5344E" w:rsidRDefault="004E4BBE" w:rsidP="004E4BBE">
      <w:pPr>
        <w:rPr>
          <w:rFonts w:asciiTheme="majorHAnsi" w:hAnsiTheme="majorHAnsi" w:cstheme="majorHAnsi"/>
        </w:rPr>
      </w:pPr>
      <w:r>
        <w:rPr>
          <w:rFonts w:asciiTheme="majorHAnsi" w:hAnsiTheme="majorHAnsi"/>
        </w:rPr>
        <w:t>Pour des raisons de méthodologie, l’analyse et l’interprétation présentées ici ne tiennent compte des données relatives aux transferts de charges hors LPFC que de manière unilatérale dans la compensation des charges « nouvelle répartition des tâches ». Ces flux étant d’une importance marginale, l’imprécision qui en résulte ne devrait pas fausser les résultats ni les conclusions de l’analyse.</w:t>
      </w:r>
    </w:p>
    <w:p w14:paraId="18928BF5" w14:textId="77777777" w:rsidR="004E4BBE" w:rsidRPr="00A5344E" w:rsidRDefault="004E4BBE" w:rsidP="004E4BBE">
      <w:pPr>
        <w:pStyle w:val="berschrift2nummeriert"/>
        <w:rPr>
          <w:rFonts w:cstheme="majorHAnsi"/>
        </w:rPr>
      </w:pPr>
      <w:bookmarkStart w:id="23" w:name="_Ref185250843"/>
      <w:bookmarkStart w:id="24" w:name="_Toc196227250"/>
      <w:r>
        <w:t>Prévision de l’évolution des coûts afférents à la compensation des charges</w:t>
      </w:r>
      <w:bookmarkEnd w:id="23"/>
      <w:bookmarkEnd w:id="24"/>
    </w:p>
    <w:p w14:paraId="68AA80AE" w14:textId="1565046D" w:rsidR="004E4BBE" w:rsidRPr="00A5344E" w:rsidRDefault="004E4BBE" w:rsidP="006811A3">
      <w:pPr>
        <w:rPr>
          <w:rFonts w:asciiTheme="majorHAnsi" w:hAnsiTheme="majorHAnsi" w:cstheme="majorHAnsi"/>
        </w:rPr>
      </w:pPr>
      <w:r>
        <w:rPr>
          <w:rFonts w:asciiTheme="majorHAnsi" w:hAnsiTheme="majorHAnsi"/>
        </w:rPr>
        <w:t>Comme le montre l’</w:t>
      </w:r>
      <w:r w:rsidR="00D21982" w:rsidRPr="0063677D">
        <w:rPr>
          <w:rFonts w:asciiTheme="majorHAnsi" w:hAnsiTheme="majorHAnsi" w:cstheme="majorHAnsi"/>
        </w:rPr>
        <w:fldChar w:fldCharType="begin"/>
      </w:r>
      <w:r w:rsidR="00D21982" w:rsidRPr="0063677D">
        <w:rPr>
          <w:rFonts w:asciiTheme="majorHAnsi" w:hAnsiTheme="majorHAnsi" w:cstheme="majorHAnsi"/>
        </w:rPr>
        <w:instrText xml:space="preserve"> REF _Ref185250784 \h  \* </w:instrText>
      </w:r>
      <w:r w:rsidR="0063677D" w:rsidRPr="0063677D">
        <w:rPr>
          <w:rFonts w:asciiTheme="majorHAnsi" w:hAnsiTheme="majorHAnsi" w:cstheme="majorHAnsi"/>
        </w:rPr>
        <w:instrText>Lower</w:instrText>
      </w:r>
      <w:r w:rsidR="00D21982" w:rsidRPr="0063677D">
        <w:rPr>
          <w:rFonts w:asciiTheme="majorHAnsi" w:hAnsiTheme="majorHAnsi" w:cstheme="majorHAnsi"/>
        </w:rPr>
        <w:instrText xml:space="preserve"> </w:instrText>
      </w:r>
      <w:r w:rsidR="0063677D" w:rsidRPr="0063677D">
        <w:rPr>
          <w:rFonts w:asciiTheme="majorHAnsi" w:hAnsiTheme="majorHAnsi" w:cstheme="majorHAnsi"/>
        </w:rPr>
        <w:instrText xml:space="preserve"> </w:instrText>
      </w:r>
      <w:r w:rsidR="00C83E47" w:rsidRPr="00C83E47">
        <w:rPr>
          <w:rFonts w:asciiTheme="majorHAnsi" w:hAnsiTheme="majorHAnsi" w:cstheme="majorHAnsi"/>
        </w:rPr>
        <w:instrText>\* charformat</w:instrText>
      </w:r>
      <w:r w:rsidR="0063677D" w:rsidRPr="0063677D">
        <w:rPr>
          <w:rFonts w:asciiTheme="majorHAnsi" w:hAnsiTheme="majorHAnsi" w:cstheme="majorHAnsi"/>
        </w:rPr>
        <w:instrText xml:space="preserve"> </w:instrText>
      </w:r>
      <w:r w:rsidR="00D21982" w:rsidRPr="0063677D">
        <w:rPr>
          <w:rFonts w:asciiTheme="majorHAnsi" w:hAnsiTheme="majorHAnsi" w:cstheme="majorHAnsi"/>
        </w:rPr>
      </w:r>
      <w:r w:rsidR="00D21982" w:rsidRPr="0063677D">
        <w:rPr>
          <w:rFonts w:asciiTheme="majorHAnsi" w:hAnsiTheme="majorHAnsi" w:cstheme="majorHAnsi"/>
        </w:rPr>
        <w:fldChar w:fldCharType="separate"/>
      </w:r>
      <w:r w:rsidR="00C83E47" w:rsidRPr="00C83E47">
        <w:rPr>
          <w:rFonts w:asciiTheme="majorHAnsi" w:hAnsiTheme="majorHAnsi" w:cstheme="majorHAnsi"/>
        </w:rPr>
        <w:t>illustration 4</w:t>
      </w:r>
      <w:r w:rsidR="00D21982" w:rsidRPr="0063677D">
        <w:rPr>
          <w:rFonts w:asciiTheme="majorHAnsi" w:hAnsiTheme="majorHAnsi" w:cstheme="majorHAnsi"/>
        </w:rPr>
        <w:fldChar w:fldCharType="end"/>
      </w:r>
      <w:r>
        <w:rPr>
          <w:rFonts w:asciiTheme="majorHAnsi" w:hAnsiTheme="majorHAnsi"/>
        </w:rPr>
        <w:t>, les Directions concernées tablent à l’heure actuelle sur une nette hausse des coûts afférents à la compensation des charges, en particulier en 2025. De plus, les prévisions concernant la compensation des charges de l’action sociale et des assurances sociales sont empreintes de nombreuses incertitudes et de risques importants. De par la nature du système, le canton et les communes n’ont qu’une influence limitée sur les dépenses dans ces deux secteurs, qui dépendent pour l’essentiel de la conjoncture économique, de l’évolution démographique ainsi que des adaptations apportées aux systèmes en amont et des économies qui y sont faites (p. ex. assurance-chômage, réduction des primes d’assurance-maladie, etc.).</w:t>
      </w:r>
    </w:p>
    <w:p w14:paraId="0BD0260C" w14:textId="77777777" w:rsidR="00D21982" w:rsidRPr="00A5344E" w:rsidRDefault="00D21982" w:rsidP="006811A3">
      <w:pPr>
        <w:rPr>
          <w:rFonts w:asciiTheme="majorHAnsi" w:hAnsiTheme="majorHAnsi" w:cstheme="majorHAnsi"/>
        </w:rPr>
      </w:pPr>
    </w:p>
    <w:p w14:paraId="0E660331" w14:textId="09CE99F1" w:rsidR="00D21982" w:rsidRPr="00A5344E" w:rsidRDefault="00D21982" w:rsidP="00D21982">
      <w:pPr>
        <w:pStyle w:val="Beschriftung"/>
        <w:keepNext/>
        <w:rPr>
          <w:rFonts w:asciiTheme="majorHAnsi" w:hAnsiTheme="majorHAnsi" w:cstheme="majorHAnsi"/>
          <w:b/>
          <w:bCs w:val="0"/>
        </w:rPr>
      </w:pPr>
      <w:bookmarkStart w:id="25" w:name="_Ref185250784"/>
      <w:r>
        <w:rPr>
          <w:rFonts w:asciiTheme="majorHAnsi" w:hAnsiTheme="majorHAnsi"/>
          <w:b/>
        </w:rPr>
        <w:lastRenderedPageBreak/>
        <w:t>Illustration</w:t>
      </w:r>
      <w:r w:rsidR="0063677D">
        <w:rPr>
          <w:rFonts w:asciiTheme="majorHAnsi" w:hAnsiTheme="majorHAnsi"/>
          <w:b/>
        </w:rPr>
        <w:t xml:space="preserve"> </w:t>
      </w:r>
      <w:r w:rsidR="007732EE" w:rsidRPr="00A5344E">
        <w:rPr>
          <w:rFonts w:asciiTheme="majorHAnsi" w:hAnsiTheme="majorHAnsi" w:cstheme="majorHAnsi"/>
          <w:b/>
        </w:rPr>
        <w:fldChar w:fldCharType="begin"/>
      </w:r>
      <w:r w:rsidR="007732EE" w:rsidRPr="00A5344E">
        <w:rPr>
          <w:rFonts w:asciiTheme="majorHAnsi" w:hAnsiTheme="majorHAnsi" w:cstheme="majorHAnsi"/>
          <w:b/>
        </w:rPr>
        <w:instrText xml:space="preserve"> SEQ Abbildung \* ARABIC </w:instrText>
      </w:r>
      <w:r w:rsidR="007732EE" w:rsidRPr="00A5344E">
        <w:rPr>
          <w:rFonts w:asciiTheme="majorHAnsi" w:hAnsiTheme="majorHAnsi" w:cstheme="majorHAnsi"/>
          <w:b/>
        </w:rPr>
        <w:fldChar w:fldCharType="separate"/>
      </w:r>
      <w:r w:rsidR="00A513C6" w:rsidRPr="00A5344E">
        <w:rPr>
          <w:rFonts w:asciiTheme="majorHAnsi" w:hAnsiTheme="majorHAnsi" w:cstheme="majorHAnsi"/>
          <w:b/>
        </w:rPr>
        <w:t>4</w:t>
      </w:r>
      <w:r w:rsidR="007732EE" w:rsidRPr="00A5344E">
        <w:rPr>
          <w:rFonts w:asciiTheme="majorHAnsi" w:hAnsiTheme="majorHAnsi" w:cstheme="majorHAnsi"/>
          <w:b/>
        </w:rPr>
        <w:fldChar w:fldCharType="end"/>
      </w:r>
      <w:bookmarkEnd w:id="25"/>
      <w:r>
        <w:rPr>
          <w:rFonts w:asciiTheme="majorHAnsi" w:hAnsiTheme="majorHAnsi"/>
          <w:b/>
        </w:rPr>
        <w:t> :</w:t>
      </w:r>
      <w:r>
        <w:rPr>
          <w:rFonts w:asciiTheme="majorHAnsi" w:hAnsiTheme="majorHAnsi"/>
          <w:b/>
        </w:rPr>
        <w:tab/>
        <w:t>Prévision de l’évolution des coûts afférents à la compensation des charges de 2025 à 2029</w:t>
      </w:r>
    </w:p>
    <w:tbl>
      <w:tblPr>
        <w:tblStyle w:val="Ecoplankombi"/>
        <w:tblW w:w="0" w:type="auto"/>
        <w:jc w:val="right"/>
        <w:tblLook w:val="04A0" w:firstRow="1" w:lastRow="0" w:firstColumn="1" w:lastColumn="0" w:noHBand="0" w:noVBand="1"/>
      </w:tblPr>
      <w:tblGrid>
        <w:gridCol w:w="3368"/>
        <w:gridCol w:w="1304"/>
        <w:gridCol w:w="1254"/>
        <w:gridCol w:w="1304"/>
        <w:gridCol w:w="1304"/>
        <w:gridCol w:w="1304"/>
      </w:tblGrid>
      <w:tr w:rsidR="000B3C23" w:rsidRPr="00A5344E" w14:paraId="5CF6409A" w14:textId="77777777" w:rsidTr="000B3C23">
        <w:trPr>
          <w:cnfStyle w:val="100000000000" w:firstRow="1" w:lastRow="0" w:firstColumn="0" w:lastColumn="0" w:oddVBand="0" w:evenVBand="0" w:oddHBand="0" w:evenHBand="0" w:firstRowFirstColumn="0" w:firstRowLastColumn="0" w:lastRowFirstColumn="0" w:lastRowLastColumn="0"/>
          <w:trHeight w:val="330"/>
          <w:jc w:val="right"/>
        </w:trPr>
        <w:tc>
          <w:tcPr>
            <w:tcW w:w="3402" w:type="dxa"/>
            <w:noWrap/>
            <w:hideMark/>
          </w:tcPr>
          <w:p w14:paraId="0B816C60" w14:textId="3B6A14A4" w:rsidR="00FA0916" w:rsidRPr="00A5344E" w:rsidRDefault="00FA0916" w:rsidP="00FA0916">
            <w:pPr>
              <w:pStyle w:val="Tabellentext"/>
              <w:rPr>
                <w:rFonts w:asciiTheme="majorHAnsi" w:hAnsiTheme="majorHAnsi" w:cstheme="majorHAnsi"/>
              </w:rPr>
            </w:pPr>
          </w:p>
        </w:tc>
        <w:tc>
          <w:tcPr>
            <w:tcW w:w="0" w:type="auto"/>
            <w:noWrap/>
            <w:hideMark/>
          </w:tcPr>
          <w:p w14:paraId="7F274B14" w14:textId="3062C38A" w:rsidR="00FA0916" w:rsidRPr="00A5344E" w:rsidRDefault="00FA0916" w:rsidP="00FA0916">
            <w:pPr>
              <w:pStyle w:val="Tabellentext"/>
              <w:jc w:val="right"/>
              <w:rPr>
                <w:rFonts w:asciiTheme="majorHAnsi" w:hAnsiTheme="majorHAnsi" w:cstheme="majorHAnsi"/>
                <w:b/>
                <w:bCs/>
              </w:rPr>
            </w:pPr>
            <w:r>
              <w:rPr>
                <w:rFonts w:asciiTheme="majorHAnsi" w:hAnsiTheme="majorHAnsi"/>
                <w:b/>
              </w:rPr>
              <w:t>2025</w:t>
            </w:r>
          </w:p>
        </w:tc>
        <w:tc>
          <w:tcPr>
            <w:tcW w:w="0" w:type="auto"/>
            <w:noWrap/>
            <w:hideMark/>
          </w:tcPr>
          <w:p w14:paraId="217844EA" w14:textId="53AD367C" w:rsidR="00FA0916" w:rsidRPr="00A5344E" w:rsidRDefault="00FA0916" w:rsidP="00FA0916">
            <w:pPr>
              <w:pStyle w:val="Tabellentext"/>
              <w:jc w:val="right"/>
              <w:rPr>
                <w:rFonts w:asciiTheme="majorHAnsi" w:hAnsiTheme="majorHAnsi" w:cstheme="majorHAnsi"/>
                <w:b/>
                <w:bCs/>
              </w:rPr>
            </w:pPr>
            <w:r>
              <w:rPr>
                <w:rFonts w:asciiTheme="majorHAnsi" w:hAnsiTheme="majorHAnsi"/>
                <w:b/>
              </w:rPr>
              <w:t>2026</w:t>
            </w:r>
          </w:p>
        </w:tc>
        <w:tc>
          <w:tcPr>
            <w:tcW w:w="0" w:type="auto"/>
            <w:noWrap/>
            <w:hideMark/>
          </w:tcPr>
          <w:p w14:paraId="1DF88839" w14:textId="7D49D7F4" w:rsidR="00FA0916" w:rsidRPr="00A5344E" w:rsidRDefault="00FA0916" w:rsidP="00FA0916">
            <w:pPr>
              <w:pStyle w:val="Tabellentext"/>
              <w:jc w:val="right"/>
              <w:rPr>
                <w:rFonts w:asciiTheme="majorHAnsi" w:hAnsiTheme="majorHAnsi" w:cstheme="majorHAnsi"/>
                <w:b/>
                <w:bCs/>
              </w:rPr>
            </w:pPr>
            <w:r>
              <w:rPr>
                <w:rFonts w:asciiTheme="majorHAnsi" w:hAnsiTheme="majorHAnsi"/>
                <w:b/>
              </w:rPr>
              <w:t>2027</w:t>
            </w:r>
          </w:p>
        </w:tc>
        <w:tc>
          <w:tcPr>
            <w:tcW w:w="0" w:type="auto"/>
            <w:noWrap/>
            <w:hideMark/>
          </w:tcPr>
          <w:p w14:paraId="628EA38F" w14:textId="223DBAE9" w:rsidR="00FA0916" w:rsidRPr="00A5344E" w:rsidRDefault="00FA0916" w:rsidP="00FA0916">
            <w:pPr>
              <w:pStyle w:val="Tabellentext"/>
              <w:jc w:val="right"/>
              <w:rPr>
                <w:rFonts w:asciiTheme="majorHAnsi" w:hAnsiTheme="majorHAnsi" w:cstheme="majorHAnsi"/>
                <w:b/>
                <w:bCs/>
              </w:rPr>
            </w:pPr>
            <w:r>
              <w:rPr>
                <w:rFonts w:asciiTheme="majorHAnsi" w:hAnsiTheme="majorHAnsi"/>
                <w:b/>
              </w:rPr>
              <w:t>2028</w:t>
            </w:r>
          </w:p>
        </w:tc>
        <w:tc>
          <w:tcPr>
            <w:tcW w:w="0" w:type="auto"/>
            <w:noWrap/>
            <w:hideMark/>
          </w:tcPr>
          <w:p w14:paraId="15258F47" w14:textId="4BFED45E" w:rsidR="00FA0916" w:rsidRPr="00A5344E" w:rsidRDefault="00FA0916" w:rsidP="00FA0916">
            <w:pPr>
              <w:pStyle w:val="Tabellentext"/>
              <w:jc w:val="right"/>
              <w:rPr>
                <w:rFonts w:asciiTheme="majorHAnsi" w:hAnsiTheme="majorHAnsi" w:cstheme="majorHAnsi"/>
                <w:b/>
                <w:bCs/>
              </w:rPr>
            </w:pPr>
            <w:r>
              <w:rPr>
                <w:rFonts w:asciiTheme="majorHAnsi" w:hAnsiTheme="majorHAnsi"/>
                <w:b/>
              </w:rPr>
              <w:t>2029</w:t>
            </w:r>
          </w:p>
        </w:tc>
      </w:tr>
      <w:tr w:rsidR="00FA0916" w:rsidRPr="00A5344E" w14:paraId="57A96CFC" w14:textId="77777777" w:rsidTr="000B3C23">
        <w:trPr>
          <w:cnfStyle w:val="000000100000" w:firstRow="0" w:lastRow="0" w:firstColumn="0" w:lastColumn="0" w:oddVBand="0" w:evenVBand="0" w:oddHBand="1" w:evenHBand="0" w:firstRowFirstColumn="0" w:firstRowLastColumn="0" w:lastRowFirstColumn="0" w:lastRowLastColumn="0"/>
          <w:trHeight w:val="330"/>
          <w:jc w:val="right"/>
        </w:trPr>
        <w:tc>
          <w:tcPr>
            <w:tcW w:w="3402" w:type="dxa"/>
            <w:noWrap/>
            <w:hideMark/>
          </w:tcPr>
          <w:p w14:paraId="6E193B6B" w14:textId="6CF9E37C" w:rsidR="00FA0916" w:rsidRPr="00A5344E" w:rsidRDefault="00FA0916" w:rsidP="00FA0916">
            <w:pPr>
              <w:pStyle w:val="Tabellentext"/>
              <w:rPr>
                <w:rFonts w:asciiTheme="majorHAnsi" w:hAnsiTheme="majorHAnsi" w:cstheme="majorHAnsi"/>
                <w:b/>
                <w:bCs/>
                <w:highlight w:val="red"/>
              </w:rPr>
            </w:pPr>
            <w:r>
              <w:rPr>
                <w:rFonts w:asciiTheme="majorHAnsi" w:hAnsiTheme="majorHAnsi"/>
                <w:b/>
              </w:rPr>
              <w:t>CC Traitements du corps enseignant</w:t>
            </w:r>
          </w:p>
        </w:tc>
        <w:tc>
          <w:tcPr>
            <w:tcW w:w="0" w:type="auto"/>
            <w:noWrap/>
            <w:hideMark/>
          </w:tcPr>
          <w:p w14:paraId="59097227" w14:textId="0DF97647"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462 750 000 </w:t>
            </w:r>
          </w:p>
        </w:tc>
        <w:tc>
          <w:tcPr>
            <w:tcW w:w="0" w:type="auto"/>
            <w:noWrap/>
            <w:hideMark/>
          </w:tcPr>
          <w:p w14:paraId="5A6D2CCA" w14:textId="1663A1AB"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469 020 000 </w:t>
            </w:r>
          </w:p>
        </w:tc>
        <w:tc>
          <w:tcPr>
            <w:tcW w:w="0" w:type="auto"/>
            <w:noWrap/>
            <w:hideMark/>
          </w:tcPr>
          <w:p w14:paraId="295C2D6E" w14:textId="68AC386F"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468 600 000 </w:t>
            </w:r>
          </w:p>
        </w:tc>
        <w:tc>
          <w:tcPr>
            <w:tcW w:w="0" w:type="auto"/>
            <w:noWrap/>
            <w:hideMark/>
          </w:tcPr>
          <w:p w14:paraId="5047ABF4" w14:textId="754A9830"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472 140 000 </w:t>
            </w:r>
          </w:p>
        </w:tc>
        <w:tc>
          <w:tcPr>
            <w:tcW w:w="0" w:type="auto"/>
            <w:noWrap/>
            <w:hideMark/>
          </w:tcPr>
          <w:p w14:paraId="689C850F" w14:textId="0367E04C"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477 630 000 </w:t>
            </w:r>
          </w:p>
        </w:tc>
      </w:tr>
      <w:tr w:rsidR="00FA0916" w:rsidRPr="00A5344E" w14:paraId="4E1D7699" w14:textId="77777777" w:rsidTr="000B3C23">
        <w:trPr>
          <w:cnfStyle w:val="000000010000" w:firstRow="0" w:lastRow="0" w:firstColumn="0" w:lastColumn="0" w:oddVBand="0" w:evenVBand="0" w:oddHBand="0" w:evenHBand="1" w:firstRowFirstColumn="0" w:firstRowLastColumn="0" w:lastRowFirstColumn="0" w:lastRowLastColumn="0"/>
          <w:trHeight w:val="330"/>
          <w:jc w:val="right"/>
        </w:trPr>
        <w:tc>
          <w:tcPr>
            <w:tcW w:w="3402" w:type="dxa"/>
            <w:noWrap/>
            <w:hideMark/>
          </w:tcPr>
          <w:p w14:paraId="19C6E5E7" w14:textId="01888B6C" w:rsidR="00FA0916" w:rsidRPr="00A5344E" w:rsidRDefault="00FA0916" w:rsidP="00FA0916">
            <w:pPr>
              <w:pStyle w:val="Tabellentext"/>
              <w:rPr>
                <w:rFonts w:asciiTheme="majorHAnsi" w:hAnsiTheme="majorHAnsi" w:cstheme="majorHAnsi"/>
                <w:b/>
                <w:bCs/>
              </w:rPr>
            </w:pPr>
            <w:r>
              <w:rPr>
                <w:rFonts w:asciiTheme="majorHAnsi" w:hAnsiTheme="majorHAnsi"/>
                <w:b/>
              </w:rPr>
              <w:t>CC Transports publics</w:t>
            </w:r>
          </w:p>
        </w:tc>
        <w:tc>
          <w:tcPr>
            <w:tcW w:w="0" w:type="auto"/>
            <w:noWrap/>
            <w:hideMark/>
          </w:tcPr>
          <w:p w14:paraId="7E6E8709" w14:textId="738551A1"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164 000 000 </w:t>
            </w:r>
          </w:p>
        </w:tc>
        <w:tc>
          <w:tcPr>
            <w:tcW w:w="0" w:type="auto"/>
            <w:noWrap/>
            <w:hideMark/>
          </w:tcPr>
          <w:p w14:paraId="713F6658" w14:textId="058802F9"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165 000 000 </w:t>
            </w:r>
          </w:p>
        </w:tc>
        <w:tc>
          <w:tcPr>
            <w:tcW w:w="0" w:type="auto"/>
            <w:noWrap/>
            <w:hideMark/>
          </w:tcPr>
          <w:p w14:paraId="28462466" w14:textId="25F7C3AF"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165 000 000 </w:t>
            </w:r>
          </w:p>
        </w:tc>
        <w:tc>
          <w:tcPr>
            <w:tcW w:w="0" w:type="auto"/>
            <w:noWrap/>
            <w:hideMark/>
          </w:tcPr>
          <w:p w14:paraId="25EF1C39" w14:textId="77501359"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168 000 000 </w:t>
            </w:r>
          </w:p>
        </w:tc>
        <w:tc>
          <w:tcPr>
            <w:tcW w:w="0" w:type="auto"/>
            <w:noWrap/>
            <w:hideMark/>
          </w:tcPr>
          <w:p w14:paraId="611A6EE7" w14:textId="54346FC3"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168 000 000 </w:t>
            </w:r>
          </w:p>
        </w:tc>
      </w:tr>
      <w:tr w:rsidR="00FA0916" w:rsidRPr="00A5344E" w14:paraId="51B92B23" w14:textId="77777777" w:rsidTr="000B3C23">
        <w:trPr>
          <w:cnfStyle w:val="000000100000" w:firstRow="0" w:lastRow="0" w:firstColumn="0" w:lastColumn="0" w:oddVBand="0" w:evenVBand="0" w:oddHBand="1" w:evenHBand="0" w:firstRowFirstColumn="0" w:firstRowLastColumn="0" w:lastRowFirstColumn="0" w:lastRowLastColumn="0"/>
          <w:trHeight w:val="330"/>
          <w:jc w:val="right"/>
        </w:trPr>
        <w:tc>
          <w:tcPr>
            <w:tcW w:w="3402" w:type="dxa"/>
            <w:noWrap/>
            <w:hideMark/>
          </w:tcPr>
          <w:p w14:paraId="5B5BADE3" w14:textId="42D70A8A" w:rsidR="00FA0916" w:rsidRPr="00A5344E" w:rsidRDefault="00FA0916" w:rsidP="00FA0916">
            <w:pPr>
              <w:pStyle w:val="Tabellentext"/>
              <w:rPr>
                <w:rFonts w:asciiTheme="majorHAnsi" w:hAnsiTheme="majorHAnsi" w:cstheme="majorHAnsi"/>
                <w:b/>
                <w:bCs/>
              </w:rPr>
            </w:pPr>
            <w:r>
              <w:rPr>
                <w:rFonts w:asciiTheme="majorHAnsi" w:hAnsiTheme="majorHAnsi"/>
                <w:b/>
              </w:rPr>
              <w:t>CC Action sociale / aide sociale</w:t>
            </w:r>
          </w:p>
        </w:tc>
        <w:tc>
          <w:tcPr>
            <w:tcW w:w="0" w:type="auto"/>
            <w:noWrap/>
            <w:hideMark/>
          </w:tcPr>
          <w:p w14:paraId="672AC34A" w14:textId="5A887D58"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651 561 775 </w:t>
            </w:r>
          </w:p>
        </w:tc>
        <w:tc>
          <w:tcPr>
            <w:tcW w:w="0" w:type="auto"/>
            <w:noWrap/>
            <w:hideMark/>
          </w:tcPr>
          <w:p w14:paraId="6E92E850" w14:textId="6DAF3DC4"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679 079 573 </w:t>
            </w:r>
          </w:p>
        </w:tc>
        <w:tc>
          <w:tcPr>
            <w:tcW w:w="0" w:type="auto"/>
            <w:noWrap/>
            <w:hideMark/>
          </w:tcPr>
          <w:p w14:paraId="14E73DA0" w14:textId="41D6B696"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690 961 863 </w:t>
            </w:r>
          </w:p>
        </w:tc>
        <w:tc>
          <w:tcPr>
            <w:tcW w:w="0" w:type="auto"/>
            <w:noWrap/>
            <w:hideMark/>
          </w:tcPr>
          <w:p w14:paraId="0633E0A5" w14:textId="3320D229"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692 229 887 </w:t>
            </w:r>
          </w:p>
        </w:tc>
        <w:tc>
          <w:tcPr>
            <w:tcW w:w="0" w:type="auto"/>
            <w:noWrap/>
            <w:hideMark/>
          </w:tcPr>
          <w:p w14:paraId="0F3DD24A" w14:textId="4C4DD71D"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699 675 363 </w:t>
            </w:r>
          </w:p>
        </w:tc>
      </w:tr>
      <w:tr w:rsidR="00FA0916" w:rsidRPr="00A5344E" w14:paraId="38049594" w14:textId="77777777" w:rsidTr="000B3C23">
        <w:trPr>
          <w:cnfStyle w:val="000000010000" w:firstRow="0" w:lastRow="0" w:firstColumn="0" w:lastColumn="0" w:oddVBand="0" w:evenVBand="0" w:oddHBand="0" w:evenHBand="1" w:firstRowFirstColumn="0" w:firstRowLastColumn="0" w:lastRowFirstColumn="0" w:lastRowLastColumn="0"/>
          <w:trHeight w:val="330"/>
          <w:jc w:val="right"/>
        </w:trPr>
        <w:tc>
          <w:tcPr>
            <w:tcW w:w="3402" w:type="dxa"/>
            <w:noWrap/>
            <w:hideMark/>
          </w:tcPr>
          <w:p w14:paraId="47B8B7C7" w14:textId="2FC25C49" w:rsidR="00FA0916" w:rsidRPr="00A5344E" w:rsidRDefault="00FA0916" w:rsidP="00FA0916">
            <w:pPr>
              <w:pStyle w:val="Tabellentext"/>
              <w:rPr>
                <w:rFonts w:asciiTheme="majorHAnsi" w:hAnsiTheme="majorHAnsi" w:cstheme="majorHAnsi"/>
                <w:b/>
                <w:bCs/>
              </w:rPr>
            </w:pPr>
            <w:r>
              <w:rPr>
                <w:rFonts w:asciiTheme="majorHAnsi" w:hAnsiTheme="majorHAnsi"/>
                <w:b/>
              </w:rPr>
              <w:t>CC Prestations complémentaires à l’AVS et à l’AI</w:t>
            </w:r>
          </w:p>
        </w:tc>
        <w:tc>
          <w:tcPr>
            <w:tcW w:w="0" w:type="auto"/>
            <w:noWrap/>
            <w:hideMark/>
          </w:tcPr>
          <w:p w14:paraId="146F33DF" w14:textId="0BD50A9C"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258 400 000 </w:t>
            </w:r>
          </w:p>
        </w:tc>
        <w:tc>
          <w:tcPr>
            <w:tcW w:w="0" w:type="auto"/>
            <w:noWrap/>
            <w:hideMark/>
          </w:tcPr>
          <w:p w14:paraId="0925BF0B" w14:textId="58AA7A0C"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261 000 000 </w:t>
            </w:r>
          </w:p>
        </w:tc>
        <w:tc>
          <w:tcPr>
            <w:tcW w:w="0" w:type="auto"/>
            <w:noWrap/>
            <w:hideMark/>
          </w:tcPr>
          <w:p w14:paraId="081EB1FC" w14:textId="1E40F3D2"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264 900 000 </w:t>
            </w:r>
          </w:p>
        </w:tc>
        <w:tc>
          <w:tcPr>
            <w:tcW w:w="0" w:type="auto"/>
            <w:noWrap/>
            <w:hideMark/>
          </w:tcPr>
          <w:p w14:paraId="1C9ED1BD" w14:textId="0A6AD5F7"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271 400 000 </w:t>
            </w:r>
          </w:p>
        </w:tc>
        <w:tc>
          <w:tcPr>
            <w:tcW w:w="0" w:type="auto"/>
            <w:noWrap/>
            <w:hideMark/>
          </w:tcPr>
          <w:p w14:paraId="13E0F430" w14:textId="54E68122"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271 400 000 </w:t>
            </w:r>
          </w:p>
        </w:tc>
      </w:tr>
      <w:tr w:rsidR="00FA0916" w:rsidRPr="00A5344E" w14:paraId="54E8C69B" w14:textId="77777777" w:rsidTr="000B3C23">
        <w:trPr>
          <w:cnfStyle w:val="000000100000" w:firstRow="0" w:lastRow="0" w:firstColumn="0" w:lastColumn="0" w:oddVBand="0" w:evenVBand="0" w:oddHBand="1" w:evenHBand="0" w:firstRowFirstColumn="0" w:firstRowLastColumn="0" w:lastRowFirstColumn="0" w:lastRowLastColumn="0"/>
          <w:trHeight w:val="330"/>
          <w:jc w:val="right"/>
        </w:trPr>
        <w:tc>
          <w:tcPr>
            <w:tcW w:w="3402" w:type="dxa"/>
            <w:noWrap/>
            <w:hideMark/>
          </w:tcPr>
          <w:p w14:paraId="22EB14D3" w14:textId="309212E7" w:rsidR="00FA0916" w:rsidRPr="00A5344E" w:rsidRDefault="00FA0916" w:rsidP="00FA0916">
            <w:pPr>
              <w:pStyle w:val="Tabellentext"/>
              <w:rPr>
                <w:rFonts w:asciiTheme="majorHAnsi" w:hAnsiTheme="majorHAnsi" w:cstheme="majorHAnsi"/>
                <w:b/>
                <w:bCs/>
              </w:rPr>
            </w:pPr>
            <w:r>
              <w:rPr>
                <w:rFonts w:asciiTheme="majorHAnsi" w:hAnsiTheme="majorHAnsi"/>
                <w:b/>
              </w:rPr>
              <w:t>CC Allocations familiales</w:t>
            </w:r>
          </w:p>
        </w:tc>
        <w:tc>
          <w:tcPr>
            <w:tcW w:w="0" w:type="auto"/>
            <w:noWrap/>
            <w:hideMark/>
          </w:tcPr>
          <w:p w14:paraId="2F8AB620" w14:textId="6F45BE8F"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5 400 000 </w:t>
            </w:r>
          </w:p>
        </w:tc>
        <w:tc>
          <w:tcPr>
            <w:tcW w:w="0" w:type="auto"/>
            <w:noWrap/>
            <w:hideMark/>
          </w:tcPr>
          <w:p w14:paraId="7779AA6F" w14:textId="2F0AD843"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5 400 000 </w:t>
            </w:r>
          </w:p>
        </w:tc>
        <w:tc>
          <w:tcPr>
            <w:tcW w:w="0" w:type="auto"/>
            <w:noWrap/>
            <w:hideMark/>
          </w:tcPr>
          <w:p w14:paraId="118C691A" w14:textId="6FDC5207"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5 650 000 </w:t>
            </w:r>
          </w:p>
        </w:tc>
        <w:tc>
          <w:tcPr>
            <w:tcW w:w="0" w:type="auto"/>
            <w:noWrap/>
            <w:hideMark/>
          </w:tcPr>
          <w:p w14:paraId="52A8B8D3" w14:textId="2F7E0FF7"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5 750 000 </w:t>
            </w:r>
          </w:p>
        </w:tc>
        <w:tc>
          <w:tcPr>
            <w:tcW w:w="0" w:type="auto"/>
            <w:noWrap/>
            <w:hideMark/>
          </w:tcPr>
          <w:p w14:paraId="2DC76134" w14:textId="6D9F53C8"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5 750 000 </w:t>
            </w:r>
          </w:p>
        </w:tc>
      </w:tr>
      <w:tr w:rsidR="00FA0916" w:rsidRPr="00A5344E" w14:paraId="154987C6" w14:textId="77777777" w:rsidTr="000B3C23">
        <w:trPr>
          <w:cnfStyle w:val="000000010000" w:firstRow="0" w:lastRow="0" w:firstColumn="0" w:lastColumn="0" w:oddVBand="0" w:evenVBand="0" w:oddHBand="0" w:evenHBand="1" w:firstRowFirstColumn="0" w:firstRowLastColumn="0" w:lastRowFirstColumn="0" w:lastRowLastColumn="0"/>
          <w:trHeight w:val="330"/>
          <w:jc w:val="right"/>
        </w:trPr>
        <w:tc>
          <w:tcPr>
            <w:tcW w:w="3402" w:type="dxa"/>
            <w:noWrap/>
            <w:hideMark/>
          </w:tcPr>
          <w:p w14:paraId="0118036D" w14:textId="753083C2" w:rsidR="00FA0916" w:rsidRPr="00A5344E" w:rsidRDefault="00FA0916" w:rsidP="00FA0916">
            <w:pPr>
              <w:pStyle w:val="Tabellentext"/>
              <w:rPr>
                <w:rFonts w:asciiTheme="majorHAnsi" w:hAnsiTheme="majorHAnsi" w:cstheme="majorHAnsi"/>
                <w:b/>
                <w:bCs/>
              </w:rPr>
            </w:pPr>
            <w:r>
              <w:rPr>
                <w:rFonts w:asciiTheme="majorHAnsi" w:hAnsiTheme="majorHAnsi"/>
                <w:b/>
              </w:rPr>
              <w:t>CC « Nouvelle répartition des tâches »</w:t>
            </w:r>
          </w:p>
        </w:tc>
        <w:tc>
          <w:tcPr>
            <w:tcW w:w="0" w:type="auto"/>
            <w:noWrap/>
            <w:hideMark/>
          </w:tcPr>
          <w:p w14:paraId="11481B48" w14:textId="4884AE69"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193 049 677 </w:t>
            </w:r>
          </w:p>
        </w:tc>
        <w:tc>
          <w:tcPr>
            <w:tcW w:w="0" w:type="auto"/>
            <w:noWrap/>
            <w:hideMark/>
          </w:tcPr>
          <w:p w14:paraId="164B52DB" w14:textId="67E284E6"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193 049 677 </w:t>
            </w:r>
          </w:p>
        </w:tc>
        <w:tc>
          <w:tcPr>
            <w:tcW w:w="0" w:type="auto"/>
            <w:noWrap/>
            <w:hideMark/>
          </w:tcPr>
          <w:p w14:paraId="62B6554A" w14:textId="4E7CAD5D"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193 049 677 </w:t>
            </w:r>
          </w:p>
        </w:tc>
        <w:tc>
          <w:tcPr>
            <w:tcW w:w="0" w:type="auto"/>
            <w:noWrap/>
            <w:hideMark/>
          </w:tcPr>
          <w:p w14:paraId="07F2E325" w14:textId="2F10063E"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193 049 677 </w:t>
            </w:r>
          </w:p>
        </w:tc>
        <w:tc>
          <w:tcPr>
            <w:tcW w:w="0" w:type="auto"/>
            <w:noWrap/>
            <w:hideMark/>
          </w:tcPr>
          <w:p w14:paraId="0C00C9C7" w14:textId="7C38DA32" w:rsidR="00FA0916" w:rsidRPr="00A5344E" w:rsidRDefault="00FA0916" w:rsidP="00FA0916">
            <w:pPr>
              <w:pStyle w:val="Tabellentext"/>
              <w:jc w:val="right"/>
              <w:rPr>
                <w:rFonts w:asciiTheme="majorHAnsi" w:hAnsiTheme="majorHAnsi" w:cstheme="majorHAnsi"/>
              </w:rPr>
            </w:pPr>
            <w:r>
              <w:rPr>
                <w:rFonts w:asciiTheme="majorHAnsi" w:hAnsiTheme="majorHAnsi"/>
              </w:rPr>
              <w:t xml:space="preserve"> 193 049 677 </w:t>
            </w:r>
          </w:p>
        </w:tc>
      </w:tr>
      <w:tr w:rsidR="000B3C23" w:rsidRPr="00A5344E" w14:paraId="04C5A668" w14:textId="77777777" w:rsidTr="000B3C23">
        <w:trPr>
          <w:cnfStyle w:val="000000100000" w:firstRow="0" w:lastRow="0" w:firstColumn="0" w:lastColumn="0" w:oddVBand="0" w:evenVBand="0" w:oddHBand="1" w:evenHBand="0" w:firstRowFirstColumn="0" w:firstRowLastColumn="0" w:lastRowFirstColumn="0" w:lastRowLastColumn="0"/>
          <w:trHeight w:val="330"/>
          <w:jc w:val="right"/>
        </w:trPr>
        <w:tc>
          <w:tcPr>
            <w:tcW w:w="3402" w:type="dxa"/>
            <w:shd w:val="clear" w:color="auto" w:fill="D3DDE2" w:themeFill="accent1" w:themeFillTint="33"/>
            <w:noWrap/>
          </w:tcPr>
          <w:p w14:paraId="2F36F594" w14:textId="419CA3C8" w:rsidR="00FA0916" w:rsidRPr="00A5344E" w:rsidRDefault="00FA0916" w:rsidP="00FA0916">
            <w:pPr>
              <w:pStyle w:val="Tabellentext"/>
              <w:rPr>
                <w:rFonts w:asciiTheme="majorHAnsi" w:hAnsiTheme="majorHAnsi" w:cstheme="majorHAnsi"/>
                <w:b/>
                <w:bCs/>
              </w:rPr>
            </w:pPr>
            <w:r>
              <w:rPr>
                <w:rFonts w:asciiTheme="majorHAnsi" w:hAnsiTheme="majorHAnsi"/>
                <w:b/>
              </w:rPr>
              <w:t>Total compensation des charges</w:t>
            </w:r>
          </w:p>
        </w:tc>
        <w:tc>
          <w:tcPr>
            <w:tcW w:w="0" w:type="auto"/>
            <w:shd w:val="clear" w:color="auto" w:fill="D3DDE2" w:themeFill="accent1" w:themeFillTint="33"/>
            <w:noWrap/>
          </w:tcPr>
          <w:p w14:paraId="6A780648" w14:textId="73F31FA8" w:rsidR="00FA0916" w:rsidRPr="00A5344E" w:rsidRDefault="00FA0916" w:rsidP="00FA0916">
            <w:pPr>
              <w:pStyle w:val="Tabellentext"/>
              <w:jc w:val="right"/>
              <w:rPr>
                <w:rFonts w:asciiTheme="majorHAnsi" w:hAnsiTheme="majorHAnsi" w:cstheme="majorHAnsi"/>
                <w:b/>
                <w:bCs/>
              </w:rPr>
            </w:pPr>
            <w:r>
              <w:rPr>
                <w:rFonts w:asciiTheme="majorHAnsi" w:hAnsiTheme="majorHAnsi"/>
                <w:b/>
              </w:rPr>
              <w:t xml:space="preserve"> 1 735 161 452 </w:t>
            </w:r>
          </w:p>
        </w:tc>
        <w:tc>
          <w:tcPr>
            <w:tcW w:w="0" w:type="auto"/>
            <w:shd w:val="clear" w:color="auto" w:fill="D3DDE2" w:themeFill="accent1" w:themeFillTint="33"/>
            <w:noWrap/>
          </w:tcPr>
          <w:p w14:paraId="1995D7FE" w14:textId="5128BE98" w:rsidR="00FA0916" w:rsidRPr="00A5344E" w:rsidRDefault="00FA0916" w:rsidP="00FA0916">
            <w:pPr>
              <w:pStyle w:val="Tabellentext"/>
              <w:jc w:val="right"/>
              <w:rPr>
                <w:rFonts w:asciiTheme="majorHAnsi" w:hAnsiTheme="majorHAnsi" w:cstheme="majorHAnsi"/>
                <w:b/>
                <w:bCs/>
              </w:rPr>
            </w:pPr>
            <w:r>
              <w:rPr>
                <w:rFonts w:asciiTheme="majorHAnsi" w:hAnsiTheme="majorHAnsi"/>
                <w:b/>
              </w:rPr>
              <w:t xml:space="preserve">1 772 549 250 </w:t>
            </w:r>
          </w:p>
        </w:tc>
        <w:tc>
          <w:tcPr>
            <w:tcW w:w="0" w:type="auto"/>
            <w:shd w:val="clear" w:color="auto" w:fill="D3DDE2" w:themeFill="accent1" w:themeFillTint="33"/>
            <w:noWrap/>
          </w:tcPr>
          <w:p w14:paraId="248BEAF7" w14:textId="2EBC760C" w:rsidR="00FA0916" w:rsidRPr="00A5344E" w:rsidRDefault="00FA0916" w:rsidP="00FA0916">
            <w:pPr>
              <w:pStyle w:val="Tabellentext"/>
              <w:jc w:val="right"/>
              <w:rPr>
                <w:rFonts w:asciiTheme="majorHAnsi" w:hAnsiTheme="majorHAnsi" w:cstheme="majorHAnsi"/>
                <w:b/>
                <w:bCs/>
              </w:rPr>
            </w:pPr>
            <w:r>
              <w:rPr>
                <w:rFonts w:asciiTheme="majorHAnsi" w:hAnsiTheme="majorHAnsi"/>
                <w:b/>
              </w:rPr>
              <w:t xml:space="preserve"> 1 788 161 540 </w:t>
            </w:r>
          </w:p>
        </w:tc>
        <w:tc>
          <w:tcPr>
            <w:tcW w:w="0" w:type="auto"/>
            <w:shd w:val="clear" w:color="auto" w:fill="D3DDE2" w:themeFill="accent1" w:themeFillTint="33"/>
            <w:noWrap/>
          </w:tcPr>
          <w:p w14:paraId="26C1C858" w14:textId="7656016B" w:rsidR="00FA0916" w:rsidRPr="00A5344E" w:rsidRDefault="00FA0916" w:rsidP="00FA0916">
            <w:pPr>
              <w:pStyle w:val="Tabellentext"/>
              <w:jc w:val="right"/>
              <w:rPr>
                <w:rFonts w:asciiTheme="majorHAnsi" w:hAnsiTheme="majorHAnsi" w:cstheme="majorHAnsi"/>
                <w:b/>
                <w:bCs/>
              </w:rPr>
            </w:pPr>
            <w:r>
              <w:rPr>
                <w:rFonts w:asciiTheme="majorHAnsi" w:hAnsiTheme="majorHAnsi"/>
                <w:b/>
              </w:rPr>
              <w:t xml:space="preserve"> 1 802 569 564 </w:t>
            </w:r>
          </w:p>
        </w:tc>
        <w:tc>
          <w:tcPr>
            <w:tcW w:w="0" w:type="auto"/>
            <w:shd w:val="clear" w:color="auto" w:fill="D3DDE2" w:themeFill="accent1" w:themeFillTint="33"/>
            <w:noWrap/>
          </w:tcPr>
          <w:p w14:paraId="732F9DCD" w14:textId="6A63E22A" w:rsidR="00FA0916" w:rsidRPr="00A5344E" w:rsidRDefault="00FA0916" w:rsidP="00FA0916">
            <w:pPr>
              <w:pStyle w:val="Tabellentext"/>
              <w:jc w:val="right"/>
              <w:rPr>
                <w:rFonts w:asciiTheme="majorHAnsi" w:hAnsiTheme="majorHAnsi" w:cstheme="majorHAnsi"/>
                <w:b/>
                <w:bCs/>
              </w:rPr>
            </w:pPr>
            <w:r>
              <w:rPr>
                <w:rFonts w:asciiTheme="majorHAnsi" w:hAnsiTheme="majorHAnsi"/>
                <w:b/>
              </w:rPr>
              <w:t xml:space="preserve"> 1 815 505 040 </w:t>
            </w:r>
          </w:p>
        </w:tc>
      </w:tr>
      <w:tr w:rsidR="00FA0916" w:rsidRPr="00A5344E" w14:paraId="7D50E9CA" w14:textId="77777777" w:rsidTr="000B3C23">
        <w:trPr>
          <w:cnfStyle w:val="000000010000" w:firstRow="0" w:lastRow="0" w:firstColumn="0" w:lastColumn="0" w:oddVBand="0" w:evenVBand="0" w:oddHBand="0" w:evenHBand="1" w:firstRowFirstColumn="0" w:firstRowLastColumn="0" w:lastRowFirstColumn="0" w:lastRowLastColumn="0"/>
          <w:trHeight w:val="330"/>
          <w:jc w:val="right"/>
        </w:trPr>
        <w:tc>
          <w:tcPr>
            <w:tcW w:w="3402" w:type="dxa"/>
            <w:noWrap/>
          </w:tcPr>
          <w:p w14:paraId="29011B39" w14:textId="31940654" w:rsidR="00FA0916" w:rsidRPr="00A5344E" w:rsidRDefault="00FA0916" w:rsidP="00FA0916">
            <w:pPr>
              <w:pStyle w:val="Tabellentext"/>
              <w:rPr>
                <w:rFonts w:asciiTheme="majorHAnsi" w:hAnsiTheme="majorHAnsi" w:cstheme="majorHAnsi"/>
                <w:b/>
                <w:bCs/>
                <w:i/>
                <w:iCs/>
              </w:rPr>
            </w:pPr>
            <w:r>
              <w:rPr>
                <w:rFonts w:asciiTheme="majorHAnsi" w:hAnsiTheme="majorHAnsi"/>
                <w:b/>
                <w:i/>
              </w:rPr>
              <w:t>Variation par rapport à l’année précédente en %</w:t>
            </w:r>
          </w:p>
        </w:tc>
        <w:tc>
          <w:tcPr>
            <w:tcW w:w="0" w:type="auto"/>
            <w:noWrap/>
          </w:tcPr>
          <w:p w14:paraId="2A7E2430" w14:textId="18FB6B19" w:rsidR="00FA0916" w:rsidRPr="00A5344E" w:rsidRDefault="00FA0916" w:rsidP="00FA0916">
            <w:pPr>
              <w:pStyle w:val="Tabellentext"/>
              <w:jc w:val="right"/>
              <w:rPr>
                <w:rFonts w:asciiTheme="majorHAnsi" w:hAnsiTheme="majorHAnsi" w:cstheme="majorHAnsi"/>
                <w:i/>
                <w:iCs/>
              </w:rPr>
            </w:pPr>
            <w:r>
              <w:rPr>
                <w:rFonts w:asciiTheme="majorHAnsi" w:hAnsiTheme="majorHAnsi"/>
                <w:i/>
              </w:rPr>
              <w:t>7,0%</w:t>
            </w:r>
          </w:p>
        </w:tc>
        <w:tc>
          <w:tcPr>
            <w:tcW w:w="0" w:type="auto"/>
            <w:noWrap/>
          </w:tcPr>
          <w:p w14:paraId="443F0E0B" w14:textId="0FA6C3E2" w:rsidR="00FA0916" w:rsidRPr="00A5344E" w:rsidRDefault="00FA0916" w:rsidP="00FA0916">
            <w:pPr>
              <w:pStyle w:val="Tabellentext"/>
              <w:jc w:val="right"/>
              <w:rPr>
                <w:rFonts w:asciiTheme="majorHAnsi" w:hAnsiTheme="majorHAnsi" w:cstheme="majorHAnsi"/>
                <w:i/>
                <w:iCs/>
              </w:rPr>
            </w:pPr>
            <w:r>
              <w:rPr>
                <w:rFonts w:asciiTheme="majorHAnsi" w:hAnsiTheme="majorHAnsi"/>
                <w:i/>
              </w:rPr>
              <w:t>2,2%</w:t>
            </w:r>
          </w:p>
        </w:tc>
        <w:tc>
          <w:tcPr>
            <w:tcW w:w="0" w:type="auto"/>
            <w:noWrap/>
          </w:tcPr>
          <w:p w14:paraId="420A9636" w14:textId="0BD5D309" w:rsidR="00FA0916" w:rsidRPr="00A5344E" w:rsidRDefault="00FA0916" w:rsidP="00FA0916">
            <w:pPr>
              <w:pStyle w:val="Tabellentext"/>
              <w:jc w:val="right"/>
              <w:rPr>
                <w:rFonts w:asciiTheme="majorHAnsi" w:hAnsiTheme="majorHAnsi" w:cstheme="majorHAnsi"/>
                <w:i/>
                <w:iCs/>
              </w:rPr>
            </w:pPr>
            <w:r>
              <w:rPr>
                <w:rFonts w:asciiTheme="majorHAnsi" w:hAnsiTheme="majorHAnsi"/>
                <w:i/>
              </w:rPr>
              <w:t>0,9%</w:t>
            </w:r>
          </w:p>
        </w:tc>
        <w:tc>
          <w:tcPr>
            <w:tcW w:w="0" w:type="auto"/>
            <w:noWrap/>
          </w:tcPr>
          <w:p w14:paraId="2B3163C5" w14:textId="6B07AEB1" w:rsidR="00FA0916" w:rsidRPr="00A5344E" w:rsidRDefault="00FA0916" w:rsidP="00FA0916">
            <w:pPr>
              <w:pStyle w:val="Tabellentext"/>
              <w:jc w:val="right"/>
              <w:rPr>
                <w:rFonts w:asciiTheme="majorHAnsi" w:hAnsiTheme="majorHAnsi" w:cstheme="majorHAnsi"/>
                <w:i/>
                <w:iCs/>
              </w:rPr>
            </w:pPr>
            <w:r>
              <w:rPr>
                <w:rFonts w:asciiTheme="majorHAnsi" w:hAnsiTheme="majorHAnsi"/>
                <w:i/>
              </w:rPr>
              <w:t>0,8%</w:t>
            </w:r>
          </w:p>
        </w:tc>
        <w:tc>
          <w:tcPr>
            <w:tcW w:w="0" w:type="auto"/>
            <w:noWrap/>
          </w:tcPr>
          <w:p w14:paraId="20CD415A" w14:textId="55713E79" w:rsidR="00FA0916" w:rsidRPr="00A5344E" w:rsidRDefault="00FA0916" w:rsidP="00FA0916">
            <w:pPr>
              <w:pStyle w:val="Tabellentext"/>
              <w:jc w:val="right"/>
              <w:rPr>
                <w:rFonts w:asciiTheme="majorHAnsi" w:hAnsiTheme="majorHAnsi" w:cstheme="majorHAnsi"/>
                <w:i/>
                <w:iCs/>
              </w:rPr>
            </w:pPr>
            <w:r>
              <w:rPr>
                <w:rFonts w:asciiTheme="majorHAnsi" w:hAnsiTheme="majorHAnsi"/>
                <w:i/>
              </w:rPr>
              <w:t>0,7%</w:t>
            </w:r>
          </w:p>
        </w:tc>
      </w:tr>
    </w:tbl>
    <w:p w14:paraId="01D8C676" w14:textId="6405638E" w:rsidR="004E4BBE" w:rsidRPr="00A5344E" w:rsidRDefault="0063677D" w:rsidP="0063677D">
      <w:pPr>
        <w:pStyle w:val="Textkrper"/>
        <w:rPr>
          <w:rFonts w:asciiTheme="majorHAnsi" w:hAnsiTheme="majorHAnsi" w:cstheme="majorHAnsi"/>
        </w:rPr>
      </w:pPr>
      <w:r>
        <w:rPr>
          <w:rFonts w:asciiTheme="majorHAnsi" w:hAnsiTheme="majorHAnsi" w:cstheme="majorHAnsi"/>
          <w:i/>
          <w:iCs/>
          <w:noProof/>
          <w:lang w:val="de-CH"/>
        </w:rPr>
        <w:drawing>
          <wp:inline distT="0" distB="0" distL="0" distR="0" wp14:anchorId="5C55BF4E" wp14:editId="6098F052">
            <wp:extent cx="5419725" cy="3747394"/>
            <wp:effectExtent l="0" t="0" r="0" b="5715"/>
            <wp:docPr id="2847265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610" cy="3752154"/>
                    </a:xfrm>
                    <a:prstGeom prst="rect">
                      <a:avLst/>
                    </a:prstGeom>
                    <a:noFill/>
                  </pic:spPr>
                </pic:pic>
              </a:graphicData>
            </a:graphic>
          </wp:inline>
        </w:drawing>
      </w:r>
    </w:p>
    <w:p w14:paraId="187A0EE3" w14:textId="77777777" w:rsidR="004E4BBE" w:rsidRPr="00A5344E" w:rsidRDefault="004E4BBE" w:rsidP="004E4BBE">
      <w:pPr>
        <w:pStyle w:val="berschrift2nummeriert"/>
        <w:rPr>
          <w:rFonts w:cstheme="majorHAnsi"/>
        </w:rPr>
      </w:pPr>
      <w:bookmarkStart w:id="26" w:name="_Toc196227251"/>
      <w:r>
        <w:t>Système de compensation des charges – part du canton</w:t>
      </w:r>
      <w:bookmarkEnd w:id="26"/>
    </w:p>
    <w:p w14:paraId="443425D4" w14:textId="4A86FADA" w:rsidR="004E4BBE" w:rsidRPr="00A5344E" w:rsidRDefault="004E4BBE" w:rsidP="004E4BBE">
      <w:pPr>
        <w:rPr>
          <w:rFonts w:asciiTheme="majorHAnsi" w:hAnsiTheme="majorHAnsi" w:cstheme="majorHAnsi"/>
        </w:rPr>
      </w:pPr>
      <w:r>
        <w:rPr>
          <w:rFonts w:asciiTheme="majorHAnsi" w:hAnsiTheme="majorHAnsi"/>
        </w:rPr>
        <w:t>Les champs d’activité présentés au chapitre 3 (traitements du corps enseignant, action sociale, assurances sociales et transports publics) sont cofinancés par le canton. L’</w:t>
      </w:r>
      <w:r w:rsidR="00D21982" w:rsidRPr="0063677D">
        <w:rPr>
          <w:rFonts w:asciiTheme="majorHAnsi" w:hAnsiTheme="majorHAnsi" w:cstheme="majorHAnsi"/>
        </w:rPr>
        <w:fldChar w:fldCharType="begin"/>
      </w:r>
      <w:r w:rsidR="00D21982" w:rsidRPr="0063677D">
        <w:rPr>
          <w:rFonts w:asciiTheme="majorHAnsi" w:hAnsiTheme="majorHAnsi" w:cstheme="majorHAnsi"/>
        </w:rPr>
        <w:instrText xml:space="preserve"> REF _Ref185250428 \h </w:instrText>
      </w:r>
      <w:r w:rsidR="00984F56" w:rsidRPr="0063677D">
        <w:rPr>
          <w:rFonts w:asciiTheme="majorHAnsi" w:hAnsiTheme="majorHAnsi" w:cstheme="majorHAnsi"/>
        </w:rPr>
        <w:instrText xml:space="preserve"> \* </w:instrText>
      </w:r>
      <w:r w:rsidR="0063677D" w:rsidRPr="0063677D">
        <w:rPr>
          <w:rFonts w:asciiTheme="majorHAnsi" w:hAnsiTheme="majorHAnsi" w:cstheme="majorHAnsi"/>
        </w:rPr>
        <w:instrText>Lower</w:instrText>
      </w:r>
      <w:r w:rsidR="00984F56" w:rsidRPr="0063677D">
        <w:rPr>
          <w:rFonts w:asciiTheme="majorHAnsi" w:hAnsiTheme="majorHAnsi" w:cstheme="majorHAnsi"/>
        </w:rPr>
        <w:instrText xml:space="preserve"> </w:instrText>
      </w:r>
      <w:r w:rsidR="0063677D" w:rsidRPr="0063677D">
        <w:rPr>
          <w:rFonts w:asciiTheme="majorHAnsi" w:hAnsiTheme="majorHAnsi" w:cstheme="majorHAnsi"/>
        </w:rPr>
        <w:instrText xml:space="preserve"> </w:instrText>
      </w:r>
      <w:r w:rsidR="00C83E47" w:rsidRPr="00C83E47">
        <w:rPr>
          <w:rFonts w:asciiTheme="majorHAnsi" w:hAnsiTheme="majorHAnsi" w:cstheme="majorHAnsi"/>
        </w:rPr>
        <w:instrText>\* charformat</w:instrText>
      </w:r>
      <w:r w:rsidR="0063677D" w:rsidRPr="0063677D">
        <w:rPr>
          <w:rFonts w:asciiTheme="majorHAnsi" w:hAnsiTheme="majorHAnsi" w:cstheme="majorHAnsi"/>
        </w:rPr>
        <w:instrText xml:space="preserve"> </w:instrText>
      </w:r>
      <w:r w:rsidR="00D21982" w:rsidRPr="0063677D">
        <w:rPr>
          <w:rFonts w:asciiTheme="majorHAnsi" w:hAnsiTheme="majorHAnsi" w:cstheme="majorHAnsi"/>
        </w:rPr>
      </w:r>
      <w:r w:rsidR="00D21982" w:rsidRPr="0063677D">
        <w:rPr>
          <w:rFonts w:asciiTheme="majorHAnsi" w:hAnsiTheme="majorHAnsi" w:cstheme="majorHAnsi"/>
        </w:rPr>
        <w:fldChar w:fldCharType="separate"/>
      </w:r>
      <w:r w:rsidR="00C83E47" w:rsidRPr="00C83E47">
        <w:rPr>
          <w:rFonts w:asciiTheme="majorHAnsi" w:hAnsiTheme="majorHAnsi" w:cstheme="majorHAnsi"/>
        </w:rPr>
        <w:t>illustration 5</w:t>
      </w:r>
      <w:r w:rsidR="00D21982" w:rsidRPr="0063677D">
        <w:rPr>
          <w:rFonts w:asciiTheme="majorHAnsi" w:hAnsiTheme="majorHAnsi" w:cstheme="majorHAnsi"/>
        </w:rPr>
        <w:fldChar w:fldCharType="end"/>
      </w:r>
      <w:r>
        <w:rPr>
          <w:rFonts w:asciiTheme="majorHAnsi" w:hAnsiTheme="majorHAnsi"/>
        </w:rPr>
        <w:t xml:space="preserve"> présente la participation du canton à ces quatre dispositifs de compensation des charges ainsi que les versements des communes au titre de la compensation des charges « nouvelle répartition des tâches ».</w:t>
      </w:r>
    </w:p>
    <w:p w14:paraId="49F5BD60" w14:textId="37F6333D" w:rsidR="004E4BBE" w:rsidRPr="00A5344E" w:rsidRDefault="004E4BBE" w:rsidP="004E4BBE">
      <w:pPr>
        <w:pStyle w:val="Beschriftung"/>
        <w:keepNext/>
        <w:rPr>
          <w:rFonts w:asciiTheme="majorHAnsi" w:hAnsiTheme="majorHAnsi" w:cstheme="majorHAnsi"/>
          <w:b/>
          <w:bCs w:val="0"/>
        </w:rPr>
      </w:pPr>
      <w:bookmarkStart w:id="27" w:name="_Ref185250428"/>
      <w:r>
        <w:rPr>
          <w:rFonts w:asciiTheme="majorHAnsi" w:hAnsiTheme="majorHAnsi"/>
          <w:b/>
        </w:rPr>
        <w:lastRenderedPageBreak/>
        <w:t>Illustration</w:t>
      </w:r>
      <w:r w:rsidR="006B4687">
        <w:rPr>
          <w:rFonts w:asciiTheme="majorHAnsi" w:hAnsiTheme="majorHAnsi"/>
          <w:b/>
        </w:rPr>
        <w:t xml:space="preserve"> </w:t>
      </w:r>
      <w:r w:rsidR="007732EE" w:rsidRPr="00A5344E">
        <w:rPr>
          <w:rFonts w:asciiTheme="majorHAnsi" w:hAnsiTheme="majorHAnsi" w:cstheme="majorHAnsi"/>
          <w:b/>
        </w:rPr>
        <w:fldChar w:fldCharType="begin"/>
      </w:r>
      <w:r w:rsidR="007732EE" w:rsidRPr="00A5344E">
        <w:rPr>
          <w:rFonts w:asciiTheme="majorHAnsi" w:hAnsiTheme="majorHAnsi" w:cstheme="majorHAnsi"/>
          <w:b/>
        </w:rPr>
        <w:instrText xml:space="preserve"> SEQ Abbildung \* ARABIC </w:instrText>
      </w:r>
      <w:r w:rsidR="007732EE" w:rsidRPr="00A5344E">
        <w:rPr>
          <w:rFonts w:asciiTheme="majorHAnsi" w:hAnsiTheme="majorHAnsi" w:cstheme="majorHAnsi"/>
          <w:b/>
        </w:rPr>
        <w:fldChar w:fldCharType="separate"/>
      </w:r>
      <w:r w:rsidR="00A513C6" w:rsidRPr="00A5344E">
        <w:rPr>
          <w:rFonts w:asciiTheme="majorHAnsi" w:hAnsiTheme="majorHAnsi" w:cstheme="majorHAnsi"/>
          <w:b/>
        </w:rPr>
        <w:t>5</w:t>
      </w:r>
      <w:r w:rsidR="007732EE" w:rsidRPr="00A5344E">
        <w:rPr>
          <w:rFonts w:asciiTheme="majorHAnsi" w:hAnsiTheme="majorHAnsi" w:cstheme="majorHAnsi"/>
          <w:b/>
        </w:rPr>
        <w:fldChar w:fldCharType="end"/>
      </w:r>
      <w:bookmarkEnd w:id="27"/>
      <w:r>
        <w:rPr>
          <w:rFonts w:asciiTheme="majorHAnsi" w:hAnsiTheme="majorHAnsi"/>
          <w:b/>
        </w:rPr>
        <w:t> :</w:t>
      </w:r>
      <w:r>
        <w:rPr>
          <w:rFonts w:asciiTheme="majorHAnsi" w:hAnsiTheme="majorHAnsi"/>
          <w:b/>
        </w:rPr>
        <w:tab/>
        <w:t>Évolution de la participation du canton à la compensation des charges de 2020 à 2024 (en CHF)</w:t>
      </w:r>
    </w:p>
    <w:tbl>
      <w:tblPr>
        <w:tblStyle w:val="Ecoplankombi"/>
        <w:tblW w:w="5000" w:type="pct"/>
        <w:tblLook w:val="04A0" w:firstRow="1" w:lastRow="0" w:firstColumn="1" w:lastColumn="0" w:noHBand="0" w:noVBand="1"/>
      </w:tblPr>
      <w:tblGrid>
        <w:gridCol w:w="3396"/>
        <w:gridCol w:w="1288"/>
        <w:gridCol w:w="1288"/>
        <w:gridCol w:w="1288"/>
        <w:gridCol w:w="1290"/>
        <w:gridCol w:w="1288"/>
      </w:tblGrid>
      <w:tr w:rsidR="004E4BBE" w:rsidRPr="00A5344E" w14:paraId="0B75B405" w14:textId="77777777" w:rsidTr="0063677D">
        <w:trPr>
          <w:cnfStyle w:val="100000000000" w:firstRow="1" w:lastRow="0" w:firstColumn="0" w:lastColumn="0" w:oddVBand="0" w:evenVBand="0" w:oddHBand="0" w:evenHBand="0" w:firstRowFirstColumn="0" w:firstRowLastColumn="0" w:lastRowFirstColumn="0" w:lastRowLastColumn="0"/>
          <w:trHeight w:val="330"/>
        </w:trPr>
        <w:tc>
          <w:tcPr>
            <w:tcW w:w="1702" w:type="pct"/>
            <w:noWrap/>
            <w:hideMark/>
          </w:tcPr>
          <w:p w14:paraId="736ED8E6" w14:textId="77777777" w:rsidR="004E4BBE" w:rsidRPr="00A5344E" w:rsidRDefault="004E4BBE" w:rsidP="004E4BBE">
            <w:pPr>
              <w:pStyle w:val="Tabellentext"/>
              <w:rPr>
                <w:rFonts w:asciiTheme="majorHAnsi" w:hAnsiTheme="majorHAnsi" w:cstheme="majorHAnsi"/>
              </w:rPr>
            </w:pPr>
            <w:r>
              <w:rPr>
                <w:rFonts w:asciiTheme="majorHAnsi" w:hAnsiTheme="majorHAnsi"/>
              </w:rPr>
              <w:t> </w:t>
            </w:r>
          </w:p>
        </w:tc>
        <w:tc>
          <w:tcPr>
            <w:tcW w:w="659" w:type="pct"/>
            <w:noWrap/>
            <w:hideMark/>
          </w:tcPr>
          <w:p w14:paraId="7E83E543"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2020</w:t>
            </w:r>
          </w:p>
        </w:tc>
        <w:tc>
          <w:tcPr>
            <w:tcW w:w="659" w:type="pct"/>
            <w:noWrap/>
            <w:hideMark/>
          </w:tcPr>
          <w:p w14:paraId="24FF4955"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2021</w:t>
            </w:r>
          </w:p>
        </w:tc>
        <w:tc>
          <w:tcPr>
            <w:tcW w:w="659" w:type="pct"/>
            <w:noWrap/>
            <w:hideMark/>
          </w:tcPr>
          <w:p w14:paraId="70ACFD72"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2022</w:t>
            </w:r>
          </w:p>
        </w:tc>
        <w:tc>
          <w:tcPr>
            <w:tcW w:w="660" w:type="pct"/>
            <w:noWrap/>
            <w:hideMark/>
          </w:tcPr>
          <w:p w14:paraId="3783E7C4"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2023</w:t>
            </w:r>
          </w:p>
        </w:tc>
        <w:tc>
          <w:tcPr>
            <w:tcW w:w="659" w:type="pct"/>
            <w:noWrap/>
            <w:hideMark/>
          </w:tcPr>
          <w:p w14:paraId="5A5F0CAA"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2024</w:t>
            </w:r>
          </w:p>
        </w:tc>
      </w:tr>
      <w:tr w:rsidR="004E4BBE" w:rsidRPr="00A5344E" w14:paraId="35E7864B" w14:textId="77777777" w:rsidTr="0063677D">
        <w:trPr>
          <w:cnfStyle w:val="000000100000" w:firstRow="0" w:lastRow="0" w:firstColumn="0" w:lastColumn="0" w:oddVBand="0" w:evenVBand="0" w:oddHBand="1" w:evenHBand="0" w:firstRowFirstColumn="0" w:firstRowLastColumn="0" w:lastRowFirstColumn="0" w:lastRowLastColumn="0"/>
          <w:trHeight w:val="330"/>
        </w:trPr>
        <w:tc>
          <w:tcPr>
            <w:tcW w:w="1702" w:type="pct"/>
            <w:noWrap/>
            <w:hideMark/>
          </w:tcPr>
          <w:p w14:paraId="3D87EAA0"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CC Traitements du corps enseignant</w:t>
            </w:r>
          </w:p>
        </w:tc>
        <w:tc>
          <w:tcPr>
            <w:tcW w:w="659" w:type="pct"/>
            <w:noWrap/>
            <w:hideMark/>
          </w:tcPr>
          <w:p w14:paraId="2240C88E"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899 170 036</w:t>
            </w:r>
          </w:p>
        </w:tc>
        <w:tc>
          <w:tcPr>
            <w:tcW w:w="659" w:type="pct"/>
            <w:noWrap/>
            <w:hideMark/>
          </w:tcPr>
          <w:p w14:paraId="2A5AAD8E"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932 212 638</w:t>
            </w:r>
          </w:p>
        </w:tc>
        <w:tc>
          <w:tcPr>
            <w:tcW w:w="659" w:type="pct"/>
            <w:noWrap/>
            <w:hideMark/>
          </w:tcPr>
          <w:p w14:paraId="73C0DC60"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960 054 823</w:t>
            </w:r>
          </w:p>
        </w:tc>
        <w:tc>
          <w:tcPr>
            <w:tcW w:w="660" w:type="pct"/>
            <w:noWrap/>
            <w:hideMark/>
          </w:tcPr>
          <w:p w14:paraId="48D34D21"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996 987 040</w:t>
            </w:r>
          </w:p>
        </w:tc>
        <w:tc>
          <w:tcPr>
            <w:tcW w:w="659" w:type="pct"/>
            <w:noWrap/>
            <w:hideMark/>
          </w:tcPr>
          <w:p w14:paraId="6D42C75F"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1 031 341 827</w:t>
            </w:r>
          </w:p>
        </w:tc>
      </w:tr>
      <w:tr w:rsidR="004E4BBE" w:rsidRPr="00A5344E" w14:paraId="5125F2E1" w14:textId="77777777" w:rsidTr="0063677D">
        <w:trPr>
          <w:cnfStyle w:val="000000010000" w:firstRow="0" w:lastRow="0" w:firstColumn="0" w:lastColumn="0" w:oddVBand="0" w:evenVBand="0" w:oddHBand="0" w:evenHBand="1" w:firstRowFirstColumn="0" w:firstRowLastColumn="0" w:lastRowFirstColumn="0" w:lastRowLastColumn="0"/>
          <w:trHeight w:val="330"/>
        </w:trPr>
        <w:tc>
          <w:tcPr>
            <w:tcW w:w="1702" w:type="pct"/>
            <w:noWrap/>
            <w:hideMark/>
          </w:tcPr>
          <w:p w14:paraId="0E17AB9D" w14:textId="7F8FF514" w:rsidR="004E4BBE" w:rsidRPr="00A5344E" w:rsidRDefault="004E4BBE" w:rsidP="004E4BBE">
            <w:pPr>
              <w:pStyle w:val="Tabellentext"/>
              <w:rPr>
                <w:rFonts w:asciiTheme="majorHAnsi" w:hAnsiTheme="majorHAnsi" w:cstheme="majorHAnsi"/>
                <w:b/>
                <w:bCs/>
              </w:rPr>
            </w:pPr>
            <w:r>
              <w:rPr>
                <w:rFonts w:asciiTheme="majorHAnsi" w:hAnsiTheme="majorHAnsi"/>
                <w:b/>
              </w:rPr>
              <w:t>CC Action sociale / aide sociale</w:t>
            </w:r>
          </w:p>
        </w:tc>
        <w:tc>
          <w:tcPr>
            <w:tcW w:w="659" w:type="pct"/>
            <w:noWrap/>
            <w:hideMark/>
          </w:tcPr>
          <w:p w14:paraId="3D1F5AA3"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529 661 157</w:t>
            </w:r>
          </w:p>
        </w:tc>
        <w:tc>
          <w:tcPr>
            <w:tcW w:w="659" w:type="pct"/>
            <w:noWrap/>
            <w:hideMark/>
          </w:tcPr>
          <w:p w14:paraId="76E4E652"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531 214 852</w:t>
            </w:r>
          </w:p>
        </w:tc>
        <w:tc>
          <w:tcPr>
            <w:tcW w:w="659" w:type="pct"/>
            <w:noWrap/>
            <w:hideMark/>
          </w:tcPr>
          <w:p w14:paraId="4664C017"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563 829 475</w:t>
            </w:r>
          </w:p>
        </w:tc>
        <w:tc>
          <w:tcPr>
            <w:tcW w:w="660" w:type="pct"/>
            <w:noWrap/>
            <w:hideMark/>
          </w:tcPr>
          <w:p w14:paraId="222A0634"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541 350 617</w:t>
            </w:r>
          </w:p>
        </w:tc>
        <w:tc>
          <w:tcPr>
            <w:tcW w:w="659" w:type="pct"/>
            <w:noWrap/>
            <w:hideMark/>
          </w:tcPr>
          <w:p w14:paraId="413CB62F"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587 512 589</w:t>
            </w:r>
          </w:p>
        </w:tc>
      </w:tr>
      <w:tr w:rsidR="004E4BBE" w:rsidRPr="00A5344E" w14:paraId="6CDA130E" w14:textId="77777777" w:rsidTr="0063677D">
        <w:trPr>
          <w:cnfStyle w:val="000000100000" w:firstRow="0" w:lastRow="0" w:firstColumn="0" w:lastColumn="0" w:oddVBand="0" w:evenVBand="0" w:oddHBand="1" w:evenHBand="0" w:firstRowFirstColumn="0" w:firstRowLastColumn="0" w:lastRowFirstColumn="0" w:lastRowLastColumn="0"/>
          <w:trHeight w:val="330"/>
        </w:trPr>
        <w:tc>
          <w:tcPr>
            <w:tcW w:w="1702" w:type="pct"/>
            <w:noWrap/>
            <w:hideMark/>
          </w:tcPr>
          <w:p w14:paraId="37E3785B"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CC Assurances sociales</w:t>
            </w:r>
          </w:p>
        </w:tc>
        <w:tc>
          <w:tcPr>
            <w:tcW w:w="659" w:type="pct"/>
            <w:noWrap/>
            <w:hideMark/>
          </w:tcPr>
          <w:p w14:paraId="2C8D1400"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239 428 922</w:t>
            </w:r>
          </w:p>
        </w:tc>
        <w:tc>
          <w:tcPr>
            <w:tcW w:w="659" w:type="pct"/>
            <w:noWrap/>
            <w:hideMark/>
          </w:tcPr>
          <w:p w14:paraId="3B450EC7"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249 126 788</w:t>
            </w:r>
          </w:p>
        </w:tc>
        <w:tc>
          <w:tcPr>
            <w:tcW w:w="659" w:type="pct"/>
            <w:noWrap/>
            <w:hideMark/>
          </w:tcPr>
          <w:p w14:paraId="6354CCC5"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246 749 623</w:t>
            </w:r>
          </w:p>
        </w:tc>
        <w:tc>
          <w:tcPr>
            <w:tcW w:w="660" w:type="pct"/>
            <w:noWrap/>
            <w:hideMark/>
          </w:tcPr>
          <w:p w14:paraId="474091A9"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242 820 066</w:t>
            </w:r>
          </w:p>
        </w:tc>
        <w:tc>
          <w:tcPr>
            <w:tcW w:w="659" w:type="pct"/>
            <w:noWrap/>
            <w:hideMark/>
          </w:tcPr>
          <w:p w14:paraId="1320D00C"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248 500 006</w:t>
            </w:r>
          </w:p>
        </w:tc>
      </w:tr>
      <w:tr w:rsidR="004E4BBE" w:rsidRPr="00A5344E" w14:paraId="16053C74" w14:textId="77777777" w:rsidTr="0063677D">
        <w:trPr>
          <w:cnfStyle w:val="000000010000" w:firstRow="0" w:lastRow="0" w:firstColumn="0" w:lastColumn="0" w:oddVBand="0" w:evenVBand="0" w:oddHBand="0" w:evenHBand="1" w:firstRowFirstColumn="0" w:firstRowLastColumn="0" w:lastRowFirstColumn="0" w:lastRowLastColumn="0"/>
          <w:trHeight w:val="330"/>
        </w:trPr>
        <w:tc>
          <w:tcPr>
            <w:tcW w:w="1702" w:type="pct"/>
            <w:noWrap/>
            <w:hideMark/>
          </w:tcPr>
          <w:p w14:paraId="0519F0DB"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CC Transports publics</w:t>
            </w:r>
          </w:p>
        </w:tc>
        <w:tc>
          <w:tcPr>
            <w:tcW w:w="659" w:type="pct"/>
            <w:noWrap/>
            <w:hideMark/>
          </w:tcPr>
          <w:p w14:paraId="4F39C345"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253 078 274</w:t>
            </w:r>
          </w:p>
        </w:tc>
        <w:tc>
          <w:tcPr>
            <w:tcW w:w="659" w:type="pct"/>
            <w:noWrap/>
            <w:hideMark/>
          </w:tcPr>
          <w:p w14:paraId="7605135E"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280 478 378</w:t>
            </w:r>
          </w:p>
        </w:tc>
        <w:tc>
          <w:tcPr>
            <w:tcW w:w="659" w:type="pct"/>
            <w:noWrap/>
            <w:hideMark/>
          </w:tcPr>
          <w:p w14:paraId="3BC4ED2B"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268 651 212</w:t>
            </w:r>
          </w:p>
        </w:tc>
        <w:tc>
          <w:tcPr>
            <w:tcW w:w="660" w:type="pct"/>
            <w:noWrap/>
            <w:hideMark/>
          </w:tcPr>
          <w:p w14:paraId="0CCB5361"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301 731 110</w:t>
            </w:r>
          </w:p>
        </w:tc>
        <w:tc>
          <w:tcPr>
            <w:tcW w:w="659" w:type="pct"/>
            <w:noWrap/>
            <w:hideMark/>
          </w:tcPr>
          <w:p w14:paraId="6F4A7206"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301 008 788</w:t>
            </w:r>
          </w:p>
        </w:tc>
      </w:tr>
      <w:tr w:rsidR="004E4BBE" w:rsidRPr="00A5344E" w14:paraId="2BF9160E" w14:textId="77777777" w:rsidTr="0063677D">
        <w:trPr>
          <w:cnfStyle w:val="000000100000" w:firstRow="0" w:lastRow="0" w:firstColumn="0" w:lastColumn="0" w:oddVBand="0" w:evenVBand="0" w:oddHBand="1" w:evenHBand="0" w:firstRowFirstColumn="0" w:firstRowLastColumn="0" w:lastRowFirstColumn="0" w:lastRowLastColumn="0"/>
          <w:trHeight w:val="330"/>
        </w:trPr>
        <w:tc>
          <w:tcPr>
            <w:tcW w:w="1702" w:type="pct"/>
            <w:noWrap/>
            <w:hideMark/>
          </w:tcPr>
          <w:p w14:paraId="61ECF3BF"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CC « Nouvelle répartition des tâches »</w:t>
            </w:r>
          </w:p>
        </w:tc>
        <w:tc>
          <w:tcPr>
            <w:tcW w:w="659" w:type="pct"/>
            <w:noWrap/>
            <w:hideMark/>
          </w:tcPr>
          <w:p w14:paraId="5A4FDCC6"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-191 182 170</w:t>
            </w:r>
          </w:p>
        </w:tc>
        <w:tc>
          <w:tcPr>
            <w:tcW w:w="659" w:type="pct"/>
            <w:noWrap/>
            <w:hideMark/>
          </w:tcPr>
          <w:p w14:paraId="44D57178"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-189 210 000</w:t>
            </w:r>
          </w:p>
        </w:tc>
        <w:tc>
          <w:tcPr>
            <w:tcW w:w="659" w:type="pct"/>
            <w:noWrap/>
            <w:hideMark/>
          </w:tcPr>
          <w:p w14:paraId="4B6EE4C1"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-192 950 000</w:t>
            </w:r>
          </w:p>
        </w:tc>
        <w:tc>
          <w:tcPr>
            <w:tcW w:w="660" w:type="pct"/>
            <w:noWrap/>
            <w:hideMark/>
          </w:tcPr>
          <w:p w14:paraId="784AA9FC"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-193 000 000</w:t>
            </w:r>
          </w:p>
        </w:tc>
        <w:tc>
          <w:tcPr>
            <w:tcW w:w="659" w:type="pct"/>
            <w:noWrap/>
            <w:hideMark/>
          </w:tcPr>
          <w:p w14:paraId="63681BA3" w14:textId="77777777" w:rsidR="004E4BBE" w:rsidRPr="00A5344E" w:rsidRDefault="004E4BBE" w:rsidP="004E4BBE">
            <w:pPr>
              <w:pStyle w:val="Tabellentext"/>
              <w:jc w:val="right"/>
              <w:rPr>
                <w:rFonts w:asciiTheme="majorHAnsi" w:hAnsiTheme="majorHAnsi" w:cstheme="majorHAnsi"/>
              </w:rPr>
            </w:pPr>
            <w:r>
              <w:rPr>
                <w:rFonts w:asciiTheme="majorHAnsi" w:hAnsiTheme="majorHAnsi"/>
              </w:rPr>
              <w:t>-193 010 000</w:t>
            </w:r>
          </w:p>
        </w:tc>
      </w:tr>
      <w:tr w:rsidR="004E4BBE" w:rsidRPr="00A5344E" w14:paraId="182D4E8F" w14:textId="77777777" w:rsidTr="0063677D">
        <w:trPr>
          <w:cnfStyle w:val="000000010000" w:firstRow="0" w:lastRow="0" w:firstColumn="0" w:lastColumn="0" w:oddVBand="0" w:evenVBand="0" w:oddHBand="0" w:evenHBand="1" w:firstRowFirstColumn="0" w:firstRowLastColumn="0" w:lastRowFirstColumn="0" w:lastRowLastColumn="0"/>
          <w:trHeight w:val="330"/>
        </w:trPr>
        <w:tc>
          <w:tcPr>
            <w:tcW w:w="1702" w:type="pct"/>
            <w:noWrap/>
            <w:hideMark/>
          </w:tcPr>
          <w:p w14:paraId="0DCFE8C3" w14:textId="77777777" w:rsidR="004E4BBE" w:rsidRPr="00A5344E" w:rsidRDefault="004E4BBE" w:rsidP="004E4BBE">
            <w:pPr>
              <w:pStyle w:val="Tabellentext"/>
              <w:rPr>
                <w:rFonts w:asciiTheme="majorHAnsi" w:hAnsiTheme="majorHAnsi" w:cstheme="majorHAnsi"/>
                <w:b/>
                <w:bCs/>
              </w:rPr>
            </w:pPr>
            <w:r>
              <w:rPr>
                <w:rFonts w:asciiTheme="majorHAnsi" w:hAnsiTheme="majorHAnsi"/>
                <w:b/>
              </w:rPr>
              <w:t>Charges totales du canton</w:t>
            </w:r>
          </w:p>
        </w:tc>
        <w:tc>
          <w:tcPr>
            <w:tcW w:w="659" w:type="pct"/>
            <w:noWrap/>
            <w:hideMark/>
          </w:tcPr>
          <w:p w14:paraId="7C2133DD"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1 730 156 219</w:t>
            </w:r>
          </w:p>
        </w:tc>
        <w:tc>
          <w:tcPr>
            <w:tcW w:w="659" w:type="pct"/>
            <w:noWrap/>
            <w:hideMark/>
          </w:tcPr>
          <w:p w14:paraId="20CF99E0"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1 803 822 656</w:t>
            </w:r>
          </w:p>
        </w:tc>
        <w:tc>
          <w:tcPr>
            <w:tcW w:w="659" w:type="pct"/>
            <w:noWrap/>
            <w:hideMark/>
          </w:tcPr>
          <w:p w14:paraId="574EF220"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1 846 335 133</w:t>
            </w:r>
          </w:p>
        </w:tc>
        <w:tc>
          <w:tcPr>
            <w:tcW w:w="660" w:type="pct"/>
            <w:noWrap/>
            <w:hideMark/>
          </w:tcPr>
          <w:p w14:paraId="0AABA7F8"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1 889 888 833</w:t>
            </w:r>
          </w:p>
        </w:tc>
        <w:tc>
          <w:tcPr>
            <w:tcW w:w="659" w:type="pct"/>
            <w:noWrap/>
            <w:hideMark/>
          </w:tcPr>
          <w:p w14:paraId="76578F9C" w14:textId="77777777" w:rsidR="004E4BBE" w:rsidRPr="00A5344E" w:rsidRDefault="004E4BBE" w:rsidP="004E4BBE">
            <w:pPr>
              <w:pStyle w:val="Tabellentext"/>
              <w:jc w:val="right"/>
              <w:rPr>
                <w:rFonts w:asciiTheme="majorHAnsi" w:hAnsiTheme="majorHAnsi" w:cstheme="majorHAnsi"/>
                <w:b/>
                <w:bCs/>
              </w:rPr>
            </w:pPr>
            <w:r>
              <w:rPr>
                <w:rFonts w:asciiTheme="majorHAnsi" w:hAnsiTheme="majorHAnsi"/>
                <w:b/>
              </w:rPr>
              <w:t>1 975 353 210</w:t>
            </w:r>
          </w:p>
        </w:tc>
      </w:tr>
    </w:tbl>
    <w:p w14:paraId="1D2B733B" w14:textId="3A8B437A" w:rsidR="004E4BBE" w:rsidRPr="00A5344E" w:rsidRDefault="0063677D" w:rsidP="004E4BBE">
      <w:pPr>
        <w:pStyle w:val="Textkrper"/>
        <w:keepNext/>
        <w:rPr>
          <w:rFonts w:asciiTheme="majorHAnsi" w:hAnsiTheme="majorHAnsi" w:cstheme="majorHAnsi"/>
        </w:rPr>
      </w:pPr>
      <w:r>
        <w:rPr>
          <w:rFonts w:asciiTheme="majorHAnsi" w:hAnsiTheme="majorHAnsi" w:cstheme="majorHAnsi"/>
          <w:noProof/>
        </w:rPr>
        <w:drawing>
          <wp:inline distT="0" distB="0" distL="0" distR="0" wp14:anchorId="29E001F3" wp14:editId="11B78E76">
            <wp:extent cx="5410740" cy="2695575"/>
            <wp:effectExtent l="0" t="0" r="0" b="0"/>
            <wp:docPr id="4197477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7562" cy="2698973"/>
                    </a:xfrm>
                    <a:prstGeom prst="rect">
                      <a:avLst/>
                    </a:prstGeom>
                    <a:noFill/>
                  </pic:spPr>
                </pic:pic>
              </a:graphicData>
            </a:graphic>
          </wp:inline>
        </w:drawing>
      </w:r>
    </w:p>
    <w:p w14:paraId="59DACAF4" w14:textId="77777777" w:rsidR="004E4BBE" w:rsidRPr="00A5344E" w:rsidRDefault="004E4BBE" w:rsidP="004E4BBE">
      <w:pPr>
        <w:rPr>
          <w:rFonts w:asciiTheme="majorHAnsi" w:hAnsiTheme="majorHAnsi" w:cstheme="majorHAnsi"/>
        </w:rPr>
      </w:pPr>
    </w:p>
    <w:p w14:paraId="1077996C" w14:textId="0A473109" w:rsidR="00256F04" w:rsidRPr="00A5344E" w:rsidRDefault="004E4BBE" w:rsidP="00AE3A74">
      <w:pPr>
        <w:rPr>
          <w:rFonts w:asciiTheme="majorHAnsi" w:hAnsiTheme="majorHAnsi" w:cstheme="majorHAnsi"/>
        </w:rPr>
      </w:pPr>
      <w:r>
        <w:rPr>
          <w:rFonts w:asciiTheme="majorHAnsi" w:hAnsiTheme="majorHAnsi"/>
        </w:rPr>
        <w:t xml:space="preserve">La tendance reste globalement à la hausse, ce qui s’explique en partie par la croissance démographique constante dans le canton de Berne (+2% de début 2020 à fin 2023). </w:t>
      </w:r>
      <w:r w:rsidR="00DC31CB">
        <w:rPr>
          <w:rFonts w:asciiTheme="majorHAnsi" w:hAnsiTheme="majorHAnsi"/>
        </w:rPr>
        <w:t>L</w:t>
      </w:r>
      <w:r>
        <w:rPr>
          <w:rFonts w:asciiTheme="majorHAnsi" w:hAnsiTheme="majorHAnsi"/>
        </w:rPr>
        <w:t xml:space="preserve">a baisse </w:t>
      </w:r>
      <w:r w:rsidR="00DC31CB">
        <w:rPr>
          <w:rFonts w:asciiTheme="majorHAnsi" w:hAnsiTheme="majorHAnsi"/>
        </w:rPr>
        <w:t xml:space="preserve">des charges du dispositif de compensation « Nouvelle répartition des tâches » en enregistrée en 2021 et chiffrée à </w:t>
      </w:r>
      <w:r>
        <w:rPr>
          <w:rFonts w:asciiTheme="majorHAnsi" w:hAnsiTheme="majorHAnsi"/>
        </w:rPr>
        <w:t>189,2 millions de francs est purement arithmétique, car le canton a repris à son compte des charges communales d’un montant équivalent.</w:t>
      </w:r>
    </w:p>
    <w:p w14:paraId="5BF42B26" w14:textId="18070F56" w:rsidR="00256F04" w:rsidRPr="00A5344E" w:rsidRDefault="00256F04" w:rsidP="00256F04">
      <w:pPr>
        <w:pStyle w:val="berschrift2nummeriert"/>
        <w:rPr>
          <w:rFonts w:cstheme="majorHAnsi"/>
        </w:rPr>
      </w:pPr>
      <w:bookmarkStart w:id="28" w:name="_Toc196227252"/>
      <w:r>
        <w:t>Évolution globale de 2020 à 2024</w:t>
      </w:r>
      <w:bookmarkEnd w:id="28"/>
    </w:p>
    <w:p w14:paraId="6A19B12E" w14:textId="36A951DE" w:rsidR="004E4BBE" w:rsidRPr="00A5344E" w:rsidRDefault="00F0041B" w:rsidP="00AE3A74">
      <w:pPr>
        <w:rPr>
          <w:rFonts w:asciiTheme="majorHAnsi" w:hAnsiTheme="majorHAnsi" w:cstheme="majorHAnsi"/>
        </w:rPr>
      </w:pPr>
      <w:r>
        <w:rPr>
          <w:rFonts w:asciiTheme="majorHAnsi" w:hAnsiTheme="majorHAnsi"/>
        </w:rPr>
        <w:t>L’évolution des flux financiers de 2020 à 2024 (cf. </w:t>
      </w:r>
      <w:r w:rsidR="009C2190" w:rsidRPr="00A5344E">
        <w:rPr>
          <w:rFonts w:asciiTheme="majorHAnsi" w:hAnsiTheme="majorHAnsi" w:cstheme="majorHAnsi"/>
        </w:rPr>
        <w:fldChar w:fldCharType="begin"/>
      </w:r>
      <w:r w:rsidR="009C2190" w:rsidRPr="00A5344E">
        <w:rPr>
          <w:rFonts w:asciiTheme="majorHAnsi" w:hAnsiTheme="majorHAnsi" w:cstheme="majorHAnsi"/>
        </w:rPr>
        <w:instrText xml:space="preserve"> REF _Ref185251230 \h </w:instrText>
      </w:r>
      <w:r w:rsidR="00ED0A6F" w:rsidRPr="00A5344E">
        <w:rPr>
          <w:rFonts w:asciiTheme="majorHAnsi" w:hAnsiTheme="majorHAnsi" w:cstheme="majorHAnsi"/>
        </w:rPr>
        <w:instrText xml:space="preserve"> </w:instrText>
      </w:r>
      <w:r w:rsidR="00C83E47" w:rsidRPr="00C83E47">
        <w:rPr>
          <w:rFonts w:asciiTheme="majorHAnsi" w:hAnsiTheme="majorHAnsi" w:cstheme="majorHAnsi"/>
        </w:rPr>
        <w:instrText>\* charformat</w:instrText>
      </w:r>
      <w:r w:rsidR="0063677D">
        <w:rPr>
          <w:rFonts w:asciiTheme="majorHAnsi" w:hAnsiTheme="majorHAnsi" w:cstheme="majorHAnsi"/>
        </w:rPr>
        <w:instrText xml:space="preserve"> \* Lower</w:instrText>
      </w:r>
      <w:r w:rsidR="00ED0A6F" w:rsidRPr="00A5344E">
        <w:rPr>
          <w:rFonts w:asciiTheme="majorHAnsi" w:hAnsiTheme="majorHAnsi" w:cstheme="majorHAnsi"/>
        </w:rPr>
        <w:instrText xml:space="preserve"> </w:instrText>
      </w:r>
      <w:r w:rsidR="009C2190" w:rsidRPr="00A5344E">
        <w:rPr>
          <w:rFonts w:asciiTheme="majorHAnsi" w:hAnsiTheme="majorHAnsi" w:cstheme="majorHAnsi"/>
        </w:rPr>
      </w:r>
      <w:r w:rsidR="009C2190" w:rsidRPr="00A5344E">
        <w:rPr>
          <w:rFonts w:asciiTheme="majorHAnsi" w:hAnsiTheme="majorHAnsi" w:cstheme="majorHAnsi"/>
        </w:rPr>
        <w:fldChar w:fldCharType="separate"/>
      </w:r>
      <w:r w:rsidR="00C83E47" w:rsidRPr="00C83E47">
        <w:rPr>
          <w:rFonts w:asciiTheme="majorHAnsi" w:hAnsiTheme="majorHAnsi" w:cstheme="majorHAnsi"/>
        </w:rPr>
        <w:t>illustration 6</w:t>
      </w:r>
      <w:r w:rsidR="009C2190" w:rsidRPr="00A5344E">
        <w:rPr>
          <w:rFonts w:asciiTheme="majorHAnsi" w:hAnsiTheme="majorHAnsi" w:cstheme="majorHAnsi"/>
        </w:rPr>
        <w:fldChar w:fldCharType="end"/>
      </w:r>
      <w:r>
        <w:rPr>
          <w:rFonts w:asciiTheme="majorHAnsi" w:hAnsiTheme="majorHAnsi"/>
        </w:rPr>
        <w:t xml:space="preserve">) montre que les charges des communes ont augmenté d’environ 146,7 millions de francs entre 2020 et 2024. Comme indiqué plus haut, cela s’explique principalement par l’évolution des coûts afférents à la compensation des charges pour les traitements du corps enseignant et </w:t>
      </w:r>
      <w:r w:rsidR="00121DB3">
        <w:rPr>
          <w:rFonts w:asciiTheme="majorHAnsi" w:hAnsiTheme="majorHAnsi"/>
        </w:rPr>
        <w:t xml:space="preserve">pour </w:t>
      </w:r>
      <w:r>
        <w:rPr>
          <w:rFonts w:asciiTheme="majorHAnsi" w:hAnsiTheme="majorHAnsi"/>
        </w:rPr>
        <w:t>les assurances sociales.</w:t>
      </w:r>
    </w:p>
    <w:p w14:paraId="7530E6CD" w14:textId="73D99B63" w:rsidR="004E4BBE" w:rsidRPr="00A5344E" w:rsidRDefault="004E4BBE" w:rsidP="004E4BBE">
      <w:pPr>
        <w:pStyle w:val="Beschriftung"/>
        <w:keepNext/>
        <w:rPr>
          <w:rFonts w:asciiTheme="majorHAnsi" w:hAnsiTheme="majorHAnsi" w:cstheme="majorHAnsi"/>
          <w:b/>
          <w:bCs w:val="0"/>
        </w:rPr>
      </w:pPr>
      <w:bookmarkStart w:id="29" w:name="_Ref185251230"/>
      <w:r>
        <w:rPr>
          <w:rFonts w:asciiTheme="majorHAnsi" w:hAnsiTheme="majorHAnsi"/>
          <w:b/>
        </w:rPr>
        <w:lastRenderedPageBreak/>
        <w:t>Illustration</w:t>
      </w:r>
      <w:r w:rsidR="0063677D">
        <w:rPr>
          <w:rFonts w:asciiTheme="majorHAnsi" w:hAnsiTheme="majorHAnsi"/>
          <w:b/>
        </w:rPr>
        <w:t xml:space="preserve"> </w:t>
      </w:r>
      <w:r w:rsidR="007732EE" w:rsidRPr="00A5344E">
        <w:rPr>
          <w:rFonts w:asciiTheme="majorHAnsi" w:hAnsiTheme="majorHAnsi" w:cstheme="majorHAnsi"/>
          <w:b/>
        </w:rPr>
        <w:fldChar w:fldCharType="begin"/>
      </w:r>
      <w:r w:rsidR="007732EE" w:rsidRPr="00A5344E">
        <w:rPr>
          <w:rFonts w:asciiTheme="majorHAnsi" w:hAnsiTheme="majorHAnsi" w:cstheme="majorHAnsi"/>
          <w:b/>
        </w:rPr>
        <w:instrText xml:space="preserve"> SEQ Abbildung \* ARABIC </w:instrText>
      </w:r>
      <w:r w:rsidR="007732EE" w:rsidRPr="00A5344E">
        <w:rPr>
          <w:rFonts w:asciiTheme="majorHAnsi" w:hAnsiTheme="majorHAnsi" w:cstheme="majorHAnsi"/>
          <w:b/>
        </w:rPr>
        <w:fldChar w:fldCharType="separate"/>
      </w:r>
      <w:r w:rsidR="00A513C6" w:rsidRPr="00A5344E">
        <w:rPr>
          <w:rFonts w:asciiTheme="majorHAnsi" w:hAnsiTheme="majorHAnsi" w:cstheme="majorHAnsi"/>
          <w:b/>
        </w:rPr>
        <w:t>6</w:t>
      </w:r>
      <w:r w:rsidR="007732EE" w:rsidRPr="00A5344E">
        <w:rPr>
          <w:rFonts w:asciiTheme="majorHAnsi" w:hAnsiTheme="majorHAnsi" w:cstheme="majorHAnsi"/>
          <w:b/>
        </w:rPr>
        <w:fldChar w:fldCharType="end"/>
      </w:r>
      <w:bookmarkEnd w:id="29"/>
      <w:r>
        <w:rPr>
          <w:rFonts w:asciiTheme="majorHAnsi" w:hAnsiTheme="majorHAnsi"/>
          <w:b/>
        </w:rPr>
        <w:t> :</w:t>
      </w:r>
      <w:r>
        <w:rPr>
          <w:rFonts w:asciiTheme="majorHAnsi" w:hAnsiTheme="majorHAnsi"/>
          <w:b/>
        </w:rPr>
        <w:tab/>
        <w:t>Évolution des flux financiers et augmentation des charges entre 2020 et 2024</w:t>
      </w:r>
    </w:p>
    <w:tbl>
      <w:tblPr>
        <w:tblStyle w:val="Ecoplankombi"/>
        <w:tblW w:w="5000" w:type="pct"/>
        <w:tblLayout w:type="fixed"/>
        <w:tblLook w:val="04A0" w:firstRow="1" w:lastRow="0" w:firstColumn="1" w:lastColumn="0" w:noHBand="0" w:noVBand="1"/>
      </w:tblPr>
      <w:tblGrid>
        <w:gridCol w:w="2188"/>
        <w:gridCol w:w="842"/>
        <w:gridCol w:w="435"/>
        <w:gridCol w:w="1275"/>
        <w:gridCol w:w="1275"/>
        <w:gridCol w:w="1275"/>
        <w:gridCol w:w="630"/>
        <w:gridCol w:w="645"/>
        <w:gridCol w:w="1273"/>
      </w:tblGrid>
      <w:tr w:rsidR="004E4BBE" w:rsidRPr="00A5344E" w14:paraId="16EC715B" w14:textId="77777777" w:rsidTr="001441EF">
        <w:trPr>
          <w:cnfStyle w:val="100000000000" w:firstRow="1" w:lastRow="0" w:firstColumn="0" w:lastColumn="0" w:oddVBand="0" w:evenVBand="0" w:oddHBand="0" w:evenHBand="0" w:firstRowFirstColumn="0" w:firstRowLastColumn="0" w:lastRowFirstColumn="0" w:lastRowLastColumn="0"/>
          <w:trHeight w:val="330"/>
        </w:trPr>
        <w:tc>
          <w:tcPr>
            <w:tcW w:w="1112" w:type="pct"/>
            <w:noWrap/>
            <w:hideMark/>
          </w:tcPr>
          <w:p w14:paraId="70134DA4" w14:textId="77777777" w:rsidR="004E4BBE" w:rsidRPr="00A5344E" w:rsidRDefault="004E4BBE" w:rsidP="004E4BBE">
            <w:pPr>
              <w:keepNext/>
              <w:rPr>
                <w:rFonts w:asciiTheme="majorHAnsi" w:hAnsiTheme="majorHAnsi" w:cstheme="majorHAnsi"/>
                <w:sz w:val="16"/>
                <w:szCs w:val="16"/>
              </w:rPr>
            </w:pPr>
            <w:bookmarkStart w:id="30" w:name="_Hlk187904363"/>
          </w:p>
        </w:tc>
        <w:tc>
          <w:tcPr>
            <w:tcW w:w="649" w:type="pct"/>
            <w:gridSpan w:val="2"/>
            <w:noWrap/>
            <w:hideMark/>
          </w:tcPr>
          <w:p w14:paraId="2F96807E" w14:textId="77777777" w:rsidR="004E4BBE" w:rsidRPr="00A5344E" w:rsidRDefault="004E4BBE" w:rsidP="004E4BBE">
            <w:pPr>
              <w:keepNext/>
              <w:jc w:val="right"/>
              <w:rPr>
                <w:rFonts w:asciiTheme="majorHAnsi" w:hAnsiTheme="majorHAnsi" w:cstheme="majorHAnsi"/>
                <w:b/>
                <w:bCs w:val="0"/>
                <w:sz w:val="16"/>
                <w:szCs w:val="16"/>
              </w:rPr>
            </w:pPr>
            <w:r>
              <w:rPr>
                <w:rFonts w:asciiTheme="majorHAnsi" w:hAnsiTheme="majorHAnsi"/>
                <w:b/>
                <w:sz w:val="16"/>
              </w:rPr>
              <w:t>2020</w:t>
            </w:r>
          </w:p>
        </w:tc>
        <w:tc>
          <w:tcPr>
            <w:tcW w:w="648" w:type="pct"/>
            <w:noWrap/>
            <w:hideMark/>
          </w:tcPr>
          <w:p w14:paraId="3BCC3B9D" w14:textId="77777777" w:rsidR="004E4BBE" w:rsidRPr="00A5344E" w:rsidRDefault="004E4BBE" w:rsidP="004E4BBE">
            <w:pPr>
              <w:keepNext/>
              <w:jc w:val="right"/>
              <w:rPr>
                <w:rFonts w:asciiTheme="majorHAnsi" w:hAnsiTheme="majorHAnsi" w:cstheme="majorHAnsi"/>
                <w:b/>
                <w:bCs w:val="0"/>
                <w:sz w:val="16"/>
                <w:szCs w:val="16"/>
              </w:rPr>
            </w:pPr>
            <w:r>
              <w:rPr>
                <w:rFonts w:asciiTheme="majorHAnsi" w:hAnsiTheme="majorHAnsi"/>
                <w:b/>
                <w:sz w:val="16"/>
              </w:rPr>
              <w:t>2021</w:t>
            </w:r>
          </w:p>
        </w:tc>
        <w:tc>
          <w:tcPr>
            <w:tcW w:w="648" w:type="pct"/>
            <w:noWrap/>
            <w:hideMark/>
          </w:tcPr>
          <w:p w14:paraId="2517C7B5" w14:textId="77777777" w:rsidR="004E4BBE" w:rsidRPr="00A5344E" w:rsidRDefault="004E4BBE" w:rsidP="004E4BBE">
            <w:pPr>
              <w:keepNext/>
              <w:jc w:val="right"/>
              <w:rPr>
                <w:rFonts w:asciiTheme="majorHAnsi" w:hAnsiTheme="majorHAnsi" w:cstheme="majorHAnsi"/>
                <w:b/>
                <w:bCs w:val="0"/>
                <w:sz w:val="16"/>
                <w:szCs w:val="16"/>
              </w:rPr>
            </w:pPr>
            <w:r>
              <w:rPr>
                <w:rFonts w:asciiTheme="majorHAnsi" w:hAnsiTheme="majorHAnsi"/>
                <w:b/>
                <w:sz w:val="16"/>
              </w:rPr>
              <w:t>2022</w:t>
            </w:r>
          </w:p>
        </w:tc>
        <w:tc>
          <w:tcPr>
            <w:tcW w:w="648" w:type="pct"/>
            <w:noWrap/>
            <w:hideMark/>
          </w:tcPr>
          <w:p w14:paraId="1C554425" w14:textId="77777777" w:rsidR="004E4BBE" w:rsidRPr="00A5344E" w:rsidRDefault="004E4BBE" w:rsidP="004E4BBE">
            <w:pPr>
              <w:keepNext/>
              <w:jc w:val="right"/>
              <w:rPr>
                <w:rFonts w:asciiTheme="majorHAnsi" w:hAnsiTheme="majorHAnsi" w:cstheme="majorHAnsi"/>
                <w:b/>
                <w:bCs w:val="0"/>
                <w:sz w:val="16"/>
                <w:szCs w:val="16"/>
              </w:rPr>
            </w:pPr>
            <w:r>
              <w:rPr>
                <w:rFonts w:asciiTheme="majorHAnsi" w:hAnsiTheme="majorHAnsi"/>
                <w:b/>
                <w:sz w:val="16"/>
              </w:rPr>
              <w:t>2023</w:t>
            </w:r>
          </w:p>
        </w:tc>
        <w:tc>
          <w:tcPr>
            <w:tcW w:w="648" w:type="pct"/>
            <w:gridSpan w:val="2"/>
            <w:noWrap/>
            <w:hideMark/>
          </w:tcPr>
          <w:p w14:paraId="0E240DAB" w14:textId="77777777" w:rsidR="004E4BBE" w:rsidRPr="00A5344E" w:rsidRDefault="004E4BBE" w:rsidP="004E4BBE">
            <w:pPr>
              <w:keepNext/>
              <w:jc w:val="right"/>
              <w:rPr>
                <w:rFonts w:asciiTheme="majorHAnsi" w:hAnsiTheme="majorHAnsi" w:cstheme="majorHAnsi"/>
                <w:b/>
                <w:bCs w:val="0"/>
                <w:sz w:val="16"/>
                <w:szCs w:val="16"/>
              </w:rPr>
            </w:pPr>
            <w:r>
              <w:rPr>
                <w:rFonts w:asciiTheme="majorHAnsi" w:hAnsiTheme="majorHAnsi"/>
                <w:b/>
                <w:sz w:val="16"/>
              </w:rPr>
              <w:t>2024</w:t>
            </w:r>
          </w:p>
        </w:tc>
        <w:tc>
          <w:tcPr>
            <w:tcW w:w="647" w:type="pct"/>
            <w:noWrap/>
            <w:hideMark/>
          </w:tcPr>
          <w:p w14:paraId="182D24E0"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i/>
                <w:color w:val="000000"/>
                <w:sz w:val="16"/>
              </w:rPr>
              <w:t>Évolution 2020/2024</w:t>
            </w:r>
          </w:p>
        </w:tc>
      </w:tr>
      <w:tr w:rsidR="004E4BBE" w:rsidRPr="00A5344E" w14:paraId="2C1A1D6B"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shd w:val="clear" w:color="auto" w:fill="A8BBC5" w:themeFill="accent1" w:themeFillTint="66"/>
            <w:noWrap/>
            <w:hideMark/>
          </w:tcPr>
          <w:p w14:paraId="07C56A95" w14:textId="77777777" w:rsidR="004E4BBE" w:rsidRPr="00A5344E" w:rsidRDefault="004E4BBE" w:rsidP="004E4BBE">
            <w:pPr>
              <w:keepNext/>
              <w:jc w:val="both"/>
              <w:rPr>
                <w:rFonts w:asciiTheme="majorHAnsi" w:hAnsiTheme="majorHAnsi" w:cstheme="majorHAnsi"/>
                <w:b/>
                <w:bCs w:val="0"/>
                <w:i/>
                <w:iCs/>
                <w:color w:val="000000"/>
                <w:sz w:val="16"/>
                <w:szCs w:val="16"/>
              </w:rPr>
            </w:pPr>
            <w:r>
              <w:rPr>
                <w:rFonts w:asciiTheme="majorHAnsi" w:hAnsiTheme="majorHAnsi"/>
                <w:b/>
                <w:i/>
                <w:color w:val="000000"/>
                <w:sz w:val="16"/>
              </w:rPr>
              <w:t>Paiements des communes</w:t>
            </w:r>
          </w:p>
        </w:tc>
        <w:tc>
          <w:tcPr>
            <w:tcW w:w="649" w:type="pct"/>
            <w:gridSpan w:val="2"/>
            <w:shd w:val="clear" w:color="auto" w:fill="A8BBC5" w:themeFill="accent1" w:themeFillTint="66"/>
            <w:noWrap/>
          </w:tcPr>
          <w:p w14:paraId="3B968449"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shd w:val="clear" w:color="auto" w:fill="A8BBC5" w:themeFill="accent1" w:themeFillTint="66"/>
            <w:noWrap/>
          </w:tcPr>
          <w:p w14:paraId="185DBA2A" w14:textId="77777777" w:rsidR="004E4BBE" w:rsidRPr="00A5344E" w:rsidRDefault="004E4BBE" w:rsidP="004E4BBE">
            <w:pPr>
              <w:keepNext/>
              <w:jc w:val="right"/>
              <w:rPr>
                <w:rFonts w:asciiTheme="majorHAnsi" w:hAnsiTheme="majorHAnsi" w:cstheme="majorHAnsi"/>
                <w:b/>
                <w:bCs w:val="0"/>
                <w:sz w:val="16"/>
                <w:szCs w:val="16"/>
              </w:rPr>
            </w:pPr>
          </w:p>
        </w:tc>
        <w:tc>
          <w:tcPr>
            <w:tcW w:w="648" w:type="pct"/>
            <w:shd w:val="clear" w:color="auto" w:fill="A8BBC5" w:themeFill="accent1" w:themeFillTint="66"/>
            <w:noWrap/>
          </w:tcPr>
          <w:p w14:paraId="5EBBA856"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shd w:val="clear" w:color="auto" w:fill="A8BBC5" w:themeFill="accent1" w:themeFillTint="66"/>
            <w:noWrap/>
          </w:tcPr>
          <w:p w14:paraId="6035C53B"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320" w:type="pct"/>
            <w:shd w:val="clear" w:color="auto" w:fill="A8BBC5" w:themeFill="accent1" w:themeFillTint="66"/>
            <w:noWrap/>
          </w:tcPr>
          <w:p w14:paraId="09DC480C"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975" w:type="pct"/>
            <w:gridSpan w:val="2"/>
            <w:shd w:val="clear" w:color="auto" w:fill="A8BBC5" w:themeFill="accent1" w:themeFillTint="66"/>
            <w:noWrap/>
            <w:hideMark/>
          </w:tcPr>
          <w:p w14:paraId="62C49F24" w14:textId="77777777" w:rsidR="004E4BBE" w:rsidRPr="00A5344E" w:rsidRDefault="004E4BBE" w:rsidP="004E4BBE">
            <w:pPr>
              <w:keepNext/>
              <w:jc w:val="right"/>
              <w:rPr>
                <w:rFonts w:asciiTheme="majorHAnsi" w:hAnsiTheme="majorHAnsi" w:cstheme="majorHAnsi"/>
                <w:b/>
                <w:bCs w:val="0"/>
                <w:i/>
                <w:iCs/>
                <w:color w:val="000000"/>
                <w:sz w:val="16"/>
                <w:szCs w:val="16"/>
              </w:rPr>
            </w:pPr>
            <w:r>
              <w:rPr>
                <w:rFonts w:asciiTheme="majorHAnsi" w:hAnsiTheme="majorHAnsi"/>
                <w:b/>
                <w:sz w:val="16"/>
              </w:rPr>
              <w:t>(hausse des charges)</w:t>
            </w:r>
          </w:p>
        </w:tc>
      </w:tr>
      <w:tr w:rsidR="004E4BBE" w:rsidRPr="00A5344E" w14:paraId="1F05687B"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00E75696"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CC Traitements du corps enseignant</w:t>
            </w:r>
          </w:p>
        </w:tc>
        <w:tc>
          <w:tcPr>
            <w:tcW w:w="649" w:type="pct"/>
            <w:gridSpan w:val="2"/>
            <w:noWrap/>
            <w:hideMark/>
          </w:tcPr>
          <w:p w14:paraId="45F15B42"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385 358 587</w:t>
            </w:r>
          </w:p>
        </w:tc>
        <w:tc>
          <w:tcPr>
            <w:tcW w:w="648" w:type="pct"/>
            <w:noWrap/>
            <w:hideMark/>
          </w:tcPr>
          <w:p w14:paraId="5746D79B"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399 519 702</w:t>
            </w:r>
          </w:p>
        </w:tc>
        <w:tc>
          <w:tcPr>
            <w:tcW w:w="648" w:type="pct"/>
            <w:noWrap/>
            <w:hideMark/>
          </w:tcPr>
          <w:p w14:paraId="53CA3870"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411 452 067</w:t>
            </w:r>
          </w:p>
        </w:tc>
        <w:tc>
          <w:tcPr>
            <w:tcW w:w="648" w:type="pct"/>
            <w:noWrap/>
            <w:hideMark/>
          </w:tcPr>
          <w:p w14:paraId="0FE40672"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427 280 160</w:t>
            </w:r>
          </w:p>
        </w:tc>
        <w:tc>
          <w:tcPr>
            <w:tcW w:w="648" w:type="pct"/>
            <w:gridSpan w:val="2"/>
            <w:noWrap/>
            <w:hideMark/>
          </w:tcPr>
          <w:p w14:paraId="39D7EA27"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442 003 640</w:t>
            </w:r>
          </w:p>
        </w:tc>
        <w:tc>
          <w:tcPr>
            <w:tcW w:w="647" w:type="pct"/>
            <w:noWrap/>
            <w:hideMark/>
          </w:tcPr>
          <w:p w14:paraId="2B3EB07D"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 xml:space="preserve"> -56 645 054</w:t>
            </w:r>
          </w:p>
        </w:tc>
      </w:tr>
      <w:tr w:rsidR="004E4BBE" w:rsidRPr="00A5344E" w14:paraId="244B579B"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noWrap/>
            <w:hideMark/>
          </w:tcPr>
          <w:p w14:paraId="2D85EB96" w14:textId="2EF7F8E4"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CC</w:t>
            </w:r>
            <w:r>
              <w:rPr>
                <w:rFonts w:asciiTheme="majorHAnsi" w:hAnsiTheme="majorHAnsi"/>
                <w:sz w:val="16"/>
              </w:rPr>
              <w:t xml:space="preserve"> Action sociale / aide sociale</w:t>
            </w:r>
          </w:p>
        </w:tc>
        <w:tc>
          <w:tcPr>
            <w:tcW w:w="649" w:type="pct"/>
            <w:gridSpan w:val="2"/>
            <w:noWrap/>
            <w:hideMark/>
          </w:tcPr>
          <w:p w14:paraId="05AB961D"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529 661 157</w:t>
            </w:r>
          </w:p>
        </w:tc>
        <w:tc>
          <w:tcPr>
            <w:tcW w:w="648" w:type="pct"/>
            <w:noWrap/>
            <w:hideMark/>
          </w:tcPr>
          <w:p w14:paraId="22AA87FD"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531 214 852</w:t>
            </w:r>
          </w:p>
        </w:tc>
        <w:tc>
          <w:tcPr>
            <w:tcW w:w="648" w:type="pct"/>
            <w:noWrap/>
            <w:hideMark/>
          </w:tcPr>
          <w:p w14:paraId="032FCA42"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563 829 475</w:t>
            </w:r>
          </w:p>
        </w:tc>
        <w:tc>
          <w:tcPr>
            <w:tcW w:w="648" w:type="pct"/>
            <w:noWrap/>
            <w:hideMark/>
          </w:tcPr>
          <w:p w14:paraId="5B6EF52E"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541 350 617</w:t>
            </w:r>
          </w:p>
        </w:tc>
        <w:tc>
          <w:tcPr>
            <w:tcW w:w="648" w:type="pct"/>
            <w:gridSpan w:val="2"/>
            <w:noWrap/>
            <w:hideMark/>
          </w:tcPr>
          <w:p w14:paraId="4AC0D030"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587 512 589</w:t>
            </w:r>
          </w:p>
        </w:tc>
        <w:tc>
          <w:tcPr>
            <w:tcW w:w="647" w:type="pct"/>
            <w:noWrap/>
            <w:hideMark/>
          </w:tcPr>
          <w:p w14:paraId="61FF902F"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 xml:space="preserve"> -57 851 432</w:t>
            </w:r>
          </w:p>
        </w:tc>
      </w:tr>
      <w:tr w:rsidR="004E4BBE" w:rsidRPr="00A5344E" w14:paraId="04CC3446"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796CAACC"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CC Assurances sociales</w:t>
            </w:r>
          </w:p>
        </w:tc>
        <w:tc>
          <w:tcPr>
            <w:tcW w:w="649" w:type="pct"/>
            <w:gridSpan w:val="2"/>
            <w:noWrap/>
            <w:hideMark/>
          </w:tcPr>
          <w:p w14:paraId="58E15DFA"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239 428 922</w:t>
            </w:r>
          </w:p>
        </w:tc>
        <w:tc>
          <w:tcPr>
            <w:tcW w:w="648" w:type="pct"/>
            <w:noWrap/>
            <w:hideMark/>
          </w:tcPr>
          <w:p w14:paraId="58DF220D"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249 126 788</w:t>
            </w:r>
          </w:p>
        </w:tc>
        <w:tc>
          <w:tcPr>
            <w:tcW w:w="648" w:type="pct"/>
            <w:noWrap/>
            <w:hideMark/>
          </w:tcPr>
          <w:p w14:paraId="032A2B96"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246 749 623</w:t>
            </w:r>
          </w:p>
        </w:tc>
        <w:tc>
          <w:tcPr>
            <w:tcW w:w="648" w:type="pct"/>
            <w:noWrap/>
            <w:hideMark/>
          </w:tcPr>
          <w:p w14:paraId="03D6CB53"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242 820 066</w:t>
            </w:r>
          </w:p>
        </w:tc>
        <w:tc>
          <w:tcPr>
            <w:tcW w:w="648" w:type="pct"/>
            <w:gridSpan w:val="2"/>
            <w:noWrap/>
            <w:hideMark/>
          </w:tcPr>
          <w:p w14:paraId="6242DA9D"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248 500 006</w:t>
            </w:r>
          </w:p>
        </w:tc>
        <w:tc>
          <w:tcPr>
            <w:tcW w:w="647" w:type="pct"/>
            <w:noWrap/>
            <w:hideMark/>
          </w:tcPr>
          <w:p w14:paraId="39C990FE"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 xml:space="preserve"> -9 071 084</w:t>
            </w:r>
          </w:p>
        </w:tc>
      </w:tr>
      <w:tr w:rsidR="004E4BBE" w:rsidRPr="00A5344E" w14:paraId="0E4AC46F"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noWrap/>
            <w:hideMark/>
          </w:tcPr>
          <w:p w14:paraId="28FE064C"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CC Transports publics</w:t>
            </w:r>
          </w:p>
        </w:tc>
        <w:tc>
          <w:tcPr>
            <w:tcW w:w="649" w:type="pct"/>
            <w:gridSpan w:val="2"/>
            <w:noWrap/>
            <w:hideMark/>
          </w:tcPr>
          <w:p w14:paraId="3444532C"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126 539 137</w:t>
            </w:r>
          </w:p>
        </w:tc>
        <w:tc>
          <w:tcPr>
            <w:tcW w:w="648" w:type="pct"/>
            <w:noWrap/>
            <w:hideMark/>
          </w:tcPr>
          <w:p w14:paraId="3C37965A"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140 239 189</w:t>
            </w:r>
          </w:p>
        </w:tc>
        <w:tc>
          <w:tcPr>
            <w:tcW w:w="648" w:type="pct"/>
            <w:noWrap/>
            <w:hideMark/>
          </w:tcPr>
          <w:p w14:paraId="3B8FCC98"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134 325 606</w:t>
            </w:r>
          </w:p>
        </w:tc>
        <w:tc>
          <w:tcPr>
            <w:tcW w:w="648" w:type="pct"/>
            <w:noWrap/>
            <w:hideMark/>
          </w:tcPr>
          <w:p w14:paraId="16A8AB27"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150 865 555</w:t>
            </w:r>
          </w:p>
        </w:tc>
        <w:tc>
          <w:tcPr>
            <w:tcW w:w="648" w:type="pct"/>
            <w:gridSpan w:val="2"/>
            <w:noWrap/>
            <w:hideMark/>
          </w:tcPr>
          <w:p w14:paraId="5FBAB907"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150 504 394</w:t>
            </w:r>
          </w:p>
        </w:tc>
        <w:tc>
          <w:tcPr>
            <w:tcW w:w="647" w:type="pct"/>
            <w:noWrap/>
            <w:hideMark/>
          </w:tcPr>
          <w:p w14:paraId="195934C9"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 xml:space="preserve"> -23 965 257</w:t>
            </w:r>
          </w:p>
        </w:tc>
      </w:tr>
      <w:tr w:rsidR="004E4BBE" w:rsidRPr="00A5344E" w14:paraId="08EA576F"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655E9FC1"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CC « Nouvelle répartition des tâches »</w:t>
            </w:r>
          </w:p>
        </w:tc>
        <w:tc>
          <w:tcPr>
            <w:tcW w:w="649" w:type="pct"/>
            <w:gridSpan w:val="2"/>
            <w:noWrap/>
            <w:hideMark/>
          </w:tcPr>
          <w:p w14:paraId="7A238940"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191 182 170</w:t>
            </w:r>
          </w:p>
        </w:tc>
        <w:tc>
          <w:tcPr>
            <w:tcW w:w="648" w:type="pct"/>
            <w:noWrap/>
            <w:hideMark/>
          </w:tcPr>
          <w:p w14:paraId="405549CC"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189 210 000</w:t>
            </w:r>
          </w:p>
        </w:tc>
        <w:tc>
          <w:tcPr>
            <w:tcW w:w="648" w:type="pct"/>
            <w:noWrap/>
            <w:hideMark/>
          </w:tcPr>
          <w:p w14:paraId="22FCE02B"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192 950 000</w:t>
            </w:r>
          </w:p>
        </w:tc>
        <w:tc>
          <w:tcPr>
            <w:tcW w:w="648" w:type="pct"/>
            <w:noWrap/>
            <w:hideMark/>
          </w:tcPr>
          <w:p w14:paraId="5A3088EB"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193 000 000</w:t>
            </w:r>
          </w:p>
        </w:tc>
        <w:tc>
          <w:tcPr>
            <w:tcW w:w="648" w:type="pct"/>
            <w:gridSpan w:val="2"/>
            <w:noWrap/>
            <w:hideMark/>
          </w:tcPr>
          <w:p w14:paraId="13017B29"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193 010 000</w:t>
            </w:r>
          </w:p>
        </w:tc>
        <w:tc>
          <w:tcPr>
            <w:tcW w:w="647" w:type="pct"/>
            <w:noWrap/>
            <w:hideMark/>
          </w:tcPr>
          <w:p w14:paraId="3ADE9AED"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 xml:space="preserve"> -1 827 830</w:t>
            </w:r>
          </w:p>
        </w:tc>
      </w:tr>
      <w:tr w:rsidR="004E4BBE" w:rsidRPr="00A5344E" w14:paraId="1EDF9E5A"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tcBorders>
              <w:bottom w:val="single" w:sz="18" w:space="0" w:color="7D9AA8" w:themeColor="accent1" w:themeTint="99"/>
            </w:tcBorders>
            <w:noWrap/>
            <w:hideMark/>
          </w:tcPr>
          <w:p w14:paraId="2128EEEE" w14:textId="77777777" w:rsidR="004E4BBE" w:rsidRPr="00A5344E" w:rsidRDefault="004E4BBE" w:rsidP="004E4BBE">
            <w:pPr>
              <w:keepNext/>
              <w:rPr>
                <w:rFonts w:asciiTheme="majorHAnsi" w:hAnsiTheme="majorHAnsi" w:cstheme="majorHAnsi"/>
                <w:b/>
                <w:bCs w:val="0"/>
                <w:color w:val="000000"/>
                <w:sz w:val="16"/>
                <w:szCs w:val="16"/>
              </w:rPr>
            </w:pPr>
            <w:r>
              <w:rPr>
                <w:rFonts w:asciiTheme="majorHAnsi" w:hAnsiTheme="majorHAnsi"/>
                <w:b/>
                <w:color w:val="000000"/>
                <w:sz w:val="16"/>
              </w:rPr>
              <w:t>Total</w:t>
            </w:r>
          </w:p>
        </w:tc>
        <w:tc>
          <w:tcPr>
            <w:tcW w:w="649" w:type="pct"/>
            <w:gridSpan w:val="2"/>
            <w:tcBorders>
              <w:bottom w:val="single" w:sz="18" w:space="0" w:color="7D9AA8" w:themeColor="accent1" w:themeTint="99"/>
            </w:tcBorders>
            <w:noWrap/>
            <w:hideMark/>
          </w:tcPr>
          <w:p w14:paraId="3A62DD61"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1 472 169 973</w:t>
            </w:r>
          </w:p>
        </w:tc>
        <w:tc>
          <w:tcPr>
            <w:tcW w:w="648" w:type="pct"/>
            <w:tcBorders>
              <w:bottom w:val="single" w:sz="18" w:space="0" w:color="7D9AA8" w:themeColor="accent1" w:themeTint="99"/>
            </w:tcBorders>
            <w:noWrap/>
            <w:hideMark/>
          </w:tcPr>
          <w:p w14:paraId="7DD39F90"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1 509 310 531</w:t>
            </w:r>
          </w:p>
        </w:tc>
        <w:tc>
          <w:tcPr>
            <w:tcW w:w="648" w:type="pct"/>
            <w:tcBorders>
              <w:bottom w:val="single" w:sz="18" w:space="0" w:color="7D9AA8" w:themeColor="accent1" w:themeTint="99"/>
            </w:tcBorders>
            <w:noWrap/>
            <w:hideMark/>
          </w:tcPr>
          <w:p w14:paraId="3A9D4289"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1 549 306 771</w:t>
            </w:r>
          </w:p>
        </w:tc>
        <w:tc>
          <w:tcPr>
            <w:tcW w:w="648" w:type="pct"/>
            <w:tcBorders>
              <w:bottom w:val="single" w:sz="18" w:space="0" w:color="7D9AA8" w:themeColor="accent1" w:themeTint="99"/>
            </w:tcBorders>
            <w:noWrap/>
            <w:hideMark/>
          </w:tcPr>
          <w:p w14:paraId="3E0E58E9"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1 555 316 398</w:t>
            </w:r>
          </w:p>
        </w:tc>
        <w:tc>
          <w:tcPr>
            <w:tcW w:w="648" w:type="pct"/>
            <w:gridSpan w:val="2"/>
            <w:tcBorders>
              <w:bottom w:val="single" w:sz="18" w:space="0" w:color="7D9AA8" w:themeColor="accent1" w:themeTint="99"/>
            </w:tcBorders>
            <w:noWrap/>
            <w:hideMark/>
          </w:tcPr>
          <w:p w14:paraId="4775C600"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1 621 530 629</w:t>
            </w:r>
          </w:p>
        </w:tc>
        <w:tc>
          <w:tcPr>
            <w:tcW w:w="647" w:type="pct"/>
            <w:tcBorders>
              <w:bottom w:val="single" w:sz="18" w:space="0" w:color="7D9AA8" w:themeColor="accent1" w:themeTint="99"/>
            </w:tcBorders>
            <w:noWrap/>
            <w:hideMark/>
          </w:tcPr>
          <w:p w14:paraId="0C39C24C" w14:textId="77777777" w:rsidR="004E4BBE" w:rsidRPr="00A5344E" w:rsidRDefault="004E4BBE" w:rsidP="004E4BBE">
            <w:pPr>
              <w:keepNext/>
              <w:jc w:val="right"/>
              <w:rPr>
                <w:rFonts w:asciiTheme="majorHAnsi" w:hAnsiTheme="majorHAnsi" w:cstheme="majorHAnsi"/>
                <w:b/>
                <w:bCs w:val="0"/>
                <w:i/>
                <w:iCs/>
                <w:color w:val="000000"/>
                <w:sz w:val="16"/>
                <w:szCs w:val="16"/>
              </w:rPr>
            </w:pPr>
            <w:r>
              <w:rPr>
                <w:rFonts w:asciiTheme="majorHAnsi" w:hAnsiTheme="majorHAnsi"/>
                <w:b/>
                <w:sz w:val="16"/>
              </w:rPr>
              <w:t xml:space="preserve"> -149 360 656</w:t>
            </w:r>
          </w:p>
        </w:tc>
      </w:tr>
      <w:tr w:rsidR="004E4BBE" w:rsidRPr="00A5344E" w14:paraId="6DF07579"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tcBorders>
              <w:top w:val="single" w:sz="18" w:space="0" w:color="7D9AA8" w:themeColor="accent1" w:themeTint="99"/>
              <w:bottom w:val="single" w:sz="18" w:space="0" w:color="7D9AA8" w:themeColor="accent1" w:themeTint="99"/>
            </w:tcBorders>
            <w:noWrap/>
            <w:hideMark/>
          </w:tcPr>
          <w:p w14:paraId="03CA93C7"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 </w:t>
            </w:r>
          </w:p>
        </w:tc>
        <w:tc>
          <w:tcPr>
            <w:tcW w:w="649" w:type="pct"/>
            <w:gridSpan w:val="2"/>
            <w:tcBorders>
              <w:top w:val="single" w:sz="18" w:space="0" w:color="7D9AA8" w:themeColor="accent1" w:themeTint="99"/>
              <w:bottom w:val="single" w:sz="18" w:space="0" w:color="7D9AA8" w:themeColor="accent1" w:themeTint="99"/>
            </w:tcBorders>
            <w:noWrap/>
            <w:hideMark/>
          </w:tcPr>
          <w:p w14:paraId="0D93EBCC" w14:textId="77777777" w:rsidR="004E4BBE" w:rsidRPr="00A5344E" w:rsidRDefault="004E4BBE" w:rsidP="004E4BBE">
            <w:pPr>
              <w:keepNext/>
              <w:jc w:val="right"/>
              <w:rPr>
                <w:rFonts w:asciiTheme="majorHAnsi" w:hAnsiTheme="majorHAnsi" w:cstheme="majorHAnsi"/>
                <w:color w:val="000000"/>
                <w:sz w:val="16"/>
                <w:szCs w:val="16"/>
              </w:rPr>
            </w:pPr>
          </w:p>
        </w:tc>
        <w:tc>
          <w:tcPr>
            <w:tcW w:w="648" w:type="pct"/>
            <w:tcBorders>
              <w:top w:val="single" w:sz="18" w:space="0" w:color="7D9AA8" w:themeColor="accent1" w:themeTint="99"/>
              <w:bottom w:val="single" w:sz="18" w:space="0" w:color="7D9AA8" w:themeColor="accent1" w:themeTint="99"/>
            </w:tcBorders>
            <w:noWrap/>
            <w:hideMark/>
          </w:tcPr>
          <w:p w14:paraId="7EC9B4EA" w14:textId="77777777" w:rsidR="004E4BBE" w:rsidRPr="00A5344E" w:rsidRDefault="004E4BBE" w:rsidP="004E4BBE">
            <w:pPr>
              <w:keepNext/>
              <w:jc w:val="right"/>
              <w:rPr>
                <w:rFonts w:asciiTheme="majorHAnsi" w:hAnsiTheme="majorHAnsi" w:cstheme="majorHAnsi"/>
                <w:color w:val="000000"/>
                <w:sz w:val="16"/>
                <w:szCs w:val="16"/>
              </w:rPr>
            </w:pPr>
          </w:p>
        </w:tc>
        <w:tc>
          <w:tcPr>
            <w:tcW w:w="648" w:type="pct"/>
            <w:tcBorders>
              <w:top w:val="single" w:sz="18" w:space="0" w:color="7D9AA8" w:themeColor="accent1" w:themeTint="99"/>
              <w:bottom w:val="single" w:sz="18" w:space="0" w:color="7D9AA8" w:themeColor="accent1" w:themeTint="99"/>
            </w:tcBorders>
            <w:noWrap/>
            <w:hideMark/>
          </w:tcPr>
          <w:p w14:paraId="1B2E83F9" w14:textId="77777777" w:rsidR="004E4BBE" w:rsidRPr="00A5344E" w:rsidRDefault="004E4BBE" w:rsidP="004E4BBE">
            <w:pPr>
              <w:keepNext/>
              <w:jc w:val="right"/>
              <w:rPr>
                <w:rFonts w:asciiTheme="majorHAnsi" w:hAnsiTheme="majorHAnsi" w:cstheme="majorHAnsi"/>
                <w:color w:val="000000"/>
                <w:sz w:val="16"/>
                <w:szCs w:val="16"/>
              </w:rPr>
            </w:pPr>
          </w:p>
        </w:tc>
        <w:tc>
          <w:tcPr>
            <w:tcW w:w="648" w:type="pct"/>
            <w:tcBorders>
              <w:top w:val="single" w:sz="18" w:space="0" w:color="7D9AA8" w:themeColor="accent1" w:themeTint="99"/>
              <w:bottom w:val="single" w:sz="18" w:space="0" w:color="7D9AA8" w:themeColor="accent1" w:themeTint="99"/>
            </w:tcBorders>
            <w:noWrap/>
            <w:hideMark/>
          </w:tcPr>
          <w:p w14:paraId="6289B0CF" w14:textId="77777777" w:rsidR="004E4BBE" w:rsidRPr="00A5344E" w:rsidRDefault="004E4BBE" w:rsidP="004E4BBE">
            <w:pPr>
              <w:keepNext/>
              <w:jc w:val="right"/>
              <w:rPr>
                <w:rFonts w:asciiTheme="majorHAnsi" w:hAnsiTheme="majorHAnsi" w:cstheme="majorHAnsi"/>
                <w:color w:val="000000"/>
                <w:sz w:val="16"/>
                <w:szCs w:val="16"/>
              </w:rPr>
            </w:pPr>
          </w:p>
        </w:tc>
        <w:tc>
          <w:tcPr>
            <w:tcW w:w="648" w:type="pct"/>
            <w:gridSpan w:val="2"/>
            <w:tcBorders>
              <w:top w:val="single" w:sz="18" w:space="0" w:color="7D9AA8" w:themeColor="accent1" w:themeTint="99"/>
              <w:bottom w:val="single" w:sz="18" w:space="0" w:color="7D9AA8" w:themeColor="accent1" w:themeTint="99"/>
            </w:tcBorders>
            <w:noWrap/>
            <w:hideMark/>
          </w:tcPr>
          <w:p w14:paraId="5750EEBB" w14:textId="77777777" w:rsidR="004E4BBE" w:rsidRPr="00A5344E" w:rsidRDefault="004E4BBE" w:rsidP="004E4BBE">
            <w:pPr>
              <w:keepNext/>
              <w:jc w:val="right"/>
              <w:rPr>
                <w:rFonts w:asciiTheme="majorHAnsi" w:hAnsiTheme="majorHAnsi" w:cstheme="majorHAnsi"/>
                <w:color w:val="000000"/>
                <w:sz w:val="16"/>
                <w:szCs w:val="16"/>
              </w:rPr>
            </w:pPr>
          </w:p>
        </w:tc>
        <w:tc>
          <w:tcPr>
            <w:tcW w:w="647" w:type="pct"/>
            <w:tcBorders>
              <w:top w:val="single" w:sz="18" w:space="0" w:color="7D9AA8" w:themeColor="accent1" w:themeTint="99"/>
              <w:bottom w:val="single" w:sz="18" w:space="0" w:color="7D9AA8" w:themeColor="accent1" w:themeTint="99"/>
            </w:tcBorders>
            <w:noWrap/>
            <w:hideMark/>
          </w:tcPr>
          <w:p w14:paraId="56E36D99" w14:textId="77777777" w:rsidR="004E4BBE" w:rsidRPr="00A5344E" w:rsidRDefault="004E4BBE" w:rsidP="004E4BBE">
            <w:pPr>
              <w:keepNext/>
              <w:jc w:val="right"/>
              <w:rPr>
                <w:rFonts w:asciiTheme="majorHAnsi" w:hAnsiTheme="majorHAnsi" w:cstheme="majorHAnsi"/>
                <w:i/>
                <w:iCs/>
                <w:color w:val="000000"/>
                <w:sz w:val="16"/>
                <w:szCs w:val="16"/>
              </w:rPr>
            </w:pPr>
          </w:p>
        </w:tc>
      </w:tr>
      <w:tr w:rsidR="004E4BBE" w:rsidRPr="00A5344E" w14:paraId="3977D5F8"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tcBorders>
              <w:top w:val="single" w:sz="18" w:space="0" w:color="7D9AA8" w:themeColor="accent1" w:themeTint="99"/>
            </w:tcBorders>
            <w:shd w:val="clear" w:color="auto" w:fill="A8BBC5" w:themeFill="accent1" w:themeFillTint="66"/>
            <w:noWrap/>
            <w:hideMark/>
          </w:tcPr>
          <w:p w14:paraId="3CD79C91" w14:textId="77777777" w:rsidR="004E4BBE" w:rsidRPr="00A5344E" w:rsidRDefault="004E4BBE" w:rsidP="004E4BBE">
            <w:pPr>
              <w:keepNext/>
              <w:rPr>
                <w:rFonts w:asciiTheme="majorHAnsi" w:hAnsiTheme="majorHAnsi" w:cstheme="majorHAnsi"/>
                <w:b/>
                <w:bCs w:val="0"/>
                <w:i/>
                <w:iCs/>
                <w:color w:val="000000"/>
                <w:sz w:val="16"/>
                <w:szCs w:val="16"/>
              </w:rPr>
            </w:pPr>
            <w:r>
              <w:rPr>
                <w:rFonts w:asciiTheme="majorHAnsi" w:hAnsiTheme="majorHAnsi"/>
                <w:b/>
                <w:i/>
                <w:color w:val="000000"/>
                <w:sz w:val="16"/>
              </w:rPr>
              <w:t>Versements aux communes</w:t>
            </w:r>
          </w:p>
        </w:tc>
        <w:tc>
          <w:tcPr>
            <w:tcW w:w="649" w:type="pct"/>
            <w:gridSpan w:val="2"/>
            <w:tcBorders>
              <w:top w:val="single" w:sz="18" w:space="0" w:color="7D9AA8" w:themeColor="accent1" w:themeTint="99"/>
            </w:tcBorders>
            <w:shd w:val="clear" w:color="auto" w:fill="A8BBC5" w:themeFill="accent1" w:themeFillTint="66"/>
            <w:noWrap/>
            <w:hideMark/>
          </w:tcPr>
          <w:p w14:paraId="369E3906"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tcBorders>
            <w:shd w:val="clear" w:color="auto" w:fill="A8BBC5" w:themeFill="accent1" w:themeFillTint="66"/>
            <w:noWrap/>
            <w:hideMark/>
          </w:tcPr>
          <w:p w14:paraId="6EFE668E"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tcBorders>
            <w:shd w:val="clear" w:color="auto" w:fill="A8BBC5" w:themeFill="accent1" w:themeFillTint="66"/>
            <w:noWrap/>
            <w:hideMark/>
          </w:tcPr>
          <w:p w14:paraId="30B14B73"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tcBorders>
            <w:shd w:val="clear" w:color="auto" w:fill="A8BBC5" w:themeFill="accent1" w:themeFillTint="66"/>
            <w:noWrap/>
            <w:hideMark/>
          </w:tcPr>
          <w:p w14:paraId="1CA849FB"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320" w:type="pct"/>
            <w:tcBorders>
              <w:top w:val="single" w:sz="18" w:space="0" w:color="7D9AA8" w:themeColor="accent1" w:themeTint="99"/>
            </w:tcBorders>
            <w:shd w:val="clear" w:color="auto" w:fill="A8BBC5" w:themeFill="accent1" w:themeFillTint="66"/>
            <w:noWrap/>
            <w:hideMark/>
          </w:tcPr>
          <w:p w14:paraId="7F2AD56E"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975" w:type="pct"/>
            <w:gridSpan w:val="2"/>
            <w:tcBorders>
              <w:top w:val="single" w:sz="18" w:space="0" w:color="7D9AA8" w:themeColor="accent1" w:themeTint="99"/>
            </w:tcBorders>
            <w:shd w:val="clear" w:color="auto" w:fill="A8BBC5" w:themeFill="accent1" w:themeFillTint="66"/>
            <w:noWrap/>
            <w:hideMark/>
          </w:tcPr>
          <w:p w14:paraId="294AE675" w14:textId="77777777" w:rsidR="004E4BBE" w:rsidRPr="00A5344E" w:rsidRDefault="004E4BBE" w:rsidP="004E4BBE">
            <w:pPr>
              <w:keepNext/>
              <w:jc w:val="right"/>
              <w:rPr>
                <w:rFonts w:asciiTheme="majorHAnsi" w:hAnsiTheme="majorHAnsi" w:cstheme="majorHAnsi"/>
                <w:b/>
                <w:bCs w:val="0"/>
                <w:i/>
                <w:iCs/>
                <w:color w:val="000000"/>
                <w:sz w:val="16"/>
                <w:szCs w:val="16"/>
              </w:rPr>
            </w:pPr>
            <w:r>
              <w:rPr>
                <w:rFonts w:asciiTheme="majorHAnsi" w:hAnsiTheme="majorHAnsi"/>
                <w:b/>
                <w:sz w:val="16"/>
              </w:rPr>
              <w:t>(baisse des charges)</w:t>
            </w:r>
          </w:p>
        </w:tc>
      </w:tr>
      <w:tr w:rsidR="004E4BBE" w:rsidRPr="00A5344E" w14:paraId="53F1C84D"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45585F2A"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 xml:space="preserve">Péréquation financière </w:t>
            </w:r>
          </w:p>
          <w:p w14:paraId="6A47A074"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(uniquement dotation minimale)</w:t>
            </w:r>
          </w:p>
        </w:tc>
        <w:tc>
          <w:tcPr>
            <w:tcW w:w="649" w:type="pct"/>
            <w:gridSpan w:val="2"/>
            <w:noWrap/>
            <w:hideMark/>
          </w:tcPr>
          <w:p w14:paraId="58E365F2"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29 356 178</w:t>
            </w:r>
          </w:p>
        </w:tc>
        <w:tc>
          <w:tcPr>
            <w:tcW w:w="648" w:type="pct"/>
            <w:noWrap/>
            <w:hideMark/>
          </w:tcPr>
          <w:p w14:paraId="26CACCA8"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30 403 597</w:t>
            </w:r>
          </w:p>
        </w:tc>
        <w:tc>
          <w:tcPr>
            <w:tcW w:w="648" w:type="pct"/>
            <w:noWrap/>
            <w:hideMark/>
          </w:tcPr>
          <w:p w14:paraId="4D1A1768"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29 468 417</w:t>
            </w:r>
          </w:p>
        </w:tc>
        <w:tc>
          <w:tcPr>
            <w:tcW w:w="648" w:type="pct"/>
            <w:noWrap/>
            <w:hideMark/>
          </w:tcPr>
          <w:p w14:paraId="7D00CA78"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31 067 841</w:t>
            </w:r>
          </w:p>
        </w:tc>
        <w:tc>
          <w:tcPr>
            <w:tcW w:w="648" w:type="pct"/>
            <w:gridSpan w:val="2"/>
            <w:noWrap/>
            <w:hideMark/>
          </w:tcPr>
          <w:p w14:paraId="226447B2"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29 564 402</w:t>
            </w:r>
          </w:p>
        </w:tc>
        <w:tc>
          <w:tcPr>
            <w:tcW w:w="647" w:type="pct"/>
            <w:noWrap/>
            <w:hideMark/>
          </w:tcPr>
          <w:p w14:paraId="7C1F32EE"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-208 224</w:t>
            </w:r>
          </w:p>
        </w:tc>
      </w:tr>
      <w:tr w:rsidR="004E4BBE" w:rsidRPr="00A5344E" w14:paraId="751E0722"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noWrap/>
            <w:hideMark/>
          </w:tcPr>
          <w:p w14:paraId="487E9D25"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Prestation complémentaire géo-topographique</w:t>
            </w:r>
          </w:p>
        </w:tc>
        <w:tc>
          <w:tcPr>
            <w:tcW w:w="649" w:type="pct"/>
            <w:gridSpan w:val="2"/>
            <w:noWrap/>
            <w:hideMark/>
          </w:tcPr>
          <w:p w14:paraId="3C5F7759"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38 704 488</w:t>
            </w:r>
          </w:p>
        </w:tc>
        <w:tc>
          <w:tcPr>
            <w:tcW w:w="648" w:type="pct"/>
            <w:noWrap/>
            <w:hideMark/>
          </w:tcPr>
          <w:p w14:paraId="3572622E"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38 711 815</w:t>
            </w:r>
          </w:p>
        </w:tc>
        <w:tc>
          <w:tcPr>
            <w:tcW w:w="648" w:type="pct"/>
            <w:noWrap/>
            <w:hideMark/>
          </w:tcPr>
          <w:p w14:paraId="002D582E"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38 692 120</w:t>
            </w:r>
          </w:p>
        </w:tc>
        <w:tc>
          <w:tcPr>
            <w:tcW w:w="648" w:type="pct"/>
            <w:noWrap/>
            <w:hideMark/>
          </w:tcPr>
          <w:p w14:paraId="669C8B8A"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38 702 195</w:t>
            </w:r>
          </w:p>
        </w:tc>
        <w:tc>
          <w:tcPr>
            <w:tcW w:w="648" w:type="pct"/>
            <w:gridSpan w:val="2"/>
            <w:noWrap/>
            <w:hideMark/>
          </w:tcPr>
          <w:p w14:paraId="1EA21B22"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38 179 602</w:t>
            </w:r>
          </w:p>
        </w:tc>
        <w:tc>
          <w:tcPr>
            <w:tcW w:w="647" w:type="pct"/>
            <w:noWrap/>
            <w:hideMark/>
          </w:tcPr>
          <w:p w14:paraId="4BF79BBA"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524 887</w:t>
            </w:r>
          </w:p>
        </w:tc>
      </w:tr>
      <w:tr w:rsidR="004E4BBE" w:rsidRPr="00A5344E" w14:paraId="6D7403EB"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75D96594" w14:textId="77777777" w:rsidR="00A513C6"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 xml:space="preserve">Prestation complémentaire socio-démographique </w:t>
            </w:r>
          </w:p>
          <w:p w14:paraId="1C049804" w14:textId="392FB256" w:rsidR="004E4BBE" w:rsidRPr="00A5344E" w:rsidRDefault="004E4BBE" w:rsidP="004E4BBE">
            <w:pPr>
              <w:keepNext/>
              <w:rPr>
                <w:rFonts w:asciiTheme="majorHAnsi" w:hAnsiTheme="majorHAnsi" w:cstheme="majorHAnsi"/>
                <w:color w:val="000000"/>
                <w:sz w:val="16"/>
                <w:szCs w:val="16"/>
              </w:rPr>
            </w:pPr>
          </w:p>
        </w:tc>
        <w:tc>
          <w:tcPr>
            <w:tcW w:w="649" w:type="pct"/>
            <w:gridSpan w:val="2"/>
            <w:noWrap/>
            <w:hideMark/>
          </w:tcPr>
          <w:p w14:paraId="7748A43F"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14 025 000</w:t>
            </w:r>
          </w:p>
        </w:tc>
        <w:tc>
          <w:tcPr>
            <w:tcW w:w="648" w:type="pct"/>
            <w:noWrap/>
            <w:hideMark/>
          </w:tcPr>
          <w:p w14:paraId="38D1FA13"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15 750 000</w:t>
            </w:r>
          </w:p>
        </w:tc>
        <w:tc>
          <w:tcPr>
            <w:tcW w:w="648" w:type="pct"/>
            <w:noWrap/>
            <w:hideMark/>
          </w:tcPr>
          <w:p w14:paraId="6A738809"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16 000 000</w:t>
            </w:r>
          </w:p>
        </w:tc>
        <w:tc>
          <w:tcPr>
            <w:tcW w:w="648" w:type="pct"/>
            <w:noWrap/>
            <w:hideMark/>
          </w:tcPr>
          <w:p w14:paraId="6D36B901"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16 500 000</w:t>
            </w:r>
          </w:p>
        </w:tc>
        <w:tc>
          <w:tcPr>
            <w:tcW w:w="648" w:type="pct"/>
            <w:gridSpan w:val="2"/>
            <w:noWrap/>
            <w:hideMark/>
          </w:tcPr>
          <w:p w14:paraId="67643F3E"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17 000 000</w:t>
            </w:r>
          </w:p>
        </w:tc>
        <w:tc>
          <w:tcPr>
            <w:tcW w:w="647" w:type="pct"/>
            <w:noWrap/>
            <w:hideMark/>
          </w:tcPr>
          <w:p w14:paraId="0BDB0C50"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-2 975 000</w:t>
            </w:r>
          </w:p>
        </w:tc>
      </w:tr>
      <w:tr w:rsidR="004E4BBE" w:rsidRPr="00A5344E" w14:paraId="5A825B4C"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noWrap/>
            <w:hideMark/>
          </w:tcPr>
          <w:p w14:paraId="16C74AAE" w14:textId="77777777" w:rsidR="004E4BBE" w:rsidRPr="00A5344E" w:rsidRDefault="004E4BBE" w:rsidP="004E4BBE">
            <w:pPr>
              <w:keepNext/>
              <w:rPr>
                <w:rFonts w:asciiTheme="majorHAnsi" w:hAnsiTheme="majorHAnsi" w:cstheme="majorHAnsi"/>
                <w:color w:val="000000"/>
                <w:sz w:val="16"/>
                <w:szCs w:val="16"/>
              </w:rPr>
            </w:pPr>
            <w:r>
              <w:rPr>
                <w:rFonts w:asciiTheme="majorHAnsi" w:hAnsiTheme="majorHAnsi"/>
                <w:color w:val="000000"/>
                <w:sz w:val="16"/>
              </w:rPr>
              <w:t xml:space="preserve">Indemnité forfaitaire </w:t>
            </w:r>
          </w:p>
        </w:tc>
        <w:tc>
          <w:tcPr>
            <w:tcW w:w="649" w:type="pct"/>
            <w:gridSpan w:val="2"/>
            <w:noWrap/>
            <w:hideMark/>
          </w:tcPr>
          <w:p w14:paraId="7688B5DF"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90 844 000</w:t>
            </w:r>
          </w:p>
        </w:tc>
        <w:tc>
          <w:tcPr>
            <w:tcW w:w="648" w:type="pct"/>
            <w:noWrap/>
            <w:hideMark/>
          </w:tcPr>
          <w:p w14:paraId="75B622D8"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90 844 000</w:t>
            </w:r>
          </w:p>
        </w:tc>
        <w:tc>
          <w:tcPr>
            <w:tcW w:w="648" w:type="pct"/>
            <w:noWrap/>
            <w:hideMark/>
          </w:tcPr>
          <w:p w14:paraId="6763BBF7"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90 844 000</w:t>
            </w:r>
          </w:p>
        </w:tc>
        <w:tc>
          <w:tcPr>
            <w:tcW w:w="648" w:type="pct"/>
            <w:noWrap/>
            <w:hideMark/>
          </w:tcPr>
          <w:p w14:paraId="782EEA8A"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90 844 000</w:t>
            </w:r>
          </w:p>
        </w:tc>
        <w:tc>
          <w:tcPr>
            <w:tcW w:w="648" w:type="pct"/>
            <w:gridSpan w:val="2"/>
            <w:noWrap/>
            <w:hideMark/>
          </w:tcPr>
          <w:p w14:paraId="3AE89AFB"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90 844 000</w:t>
            </w:r>
          </w:p>
        </w:tc>
        <w:tc>
          <w:tcPr>
            <w:tcW w:w="647" w:type="pct"/>
            <w:noWrap/>
            <w:hideMark/>
          </w:tcPr>
          <w:p w14:paraId="088E69ED" w14:textId="77777777" w:rsidR="004E4BBE" w:rsidRPr="00A5344E" w:rsidRDefault="004E4BBE" w:rsidP="004E4BBE">
            <w:pPr>
              <w:keepNext/>
              <w:jc w:val="right"/>
              <w:rPr>
                <w:rFonts w:asciiTheme="majorHAnsi" w:hAnsiTheme="majorHAnsi" w:cstheme="majorHAnsi"/>
                <w:i/>
                <w:iCs/>
                <w:color w:val="000000"/>
                <w:sz w:val="16"/>
                <w:szCs w:val="16"/>
              </w:rPr>
            </w:pPr>
            <w:r>
              <w:rPr>
                <w:rFonts w:asciiTheme="majorHAnsi" w:hAnsiTheme="majorHAnsi"/>
                <w:sz w:val="16"/>
              </w:rPr>
              <w:t>-</w:t>
            </w:r>
          </w:p>
        </w:tc>
      </w:tr>
      <w:tr w:rsidR="004E4BBE" w:rsidRPr="00A5344E" w14:paraId="3CAB62CB"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tcBorders>
              <w:bottom w:val="single" w:sz="18" w:space="0" w:color="7D9AA8" w:themeColor="accent1" w:themeTint="99"/>
            </w:tcBorders>
            <w:noWrap/>
            <w:hideMark/>
          </w:tcPr>
          <w:p w14:paraId="55F56746" w14:textId="77777777" w:rsidR="004E4BBE" w:rsidRPr="00A5344E" w:rsidRDefault="004E4BBE" w:rsidP="004E4BBE">
            <w:pPr>
              <w:keepNext/>
              <w:rPr>
                <w:rFonts w:asciiTheme="majorHAnsi" w:hAnsiTheme="majorHAnsi" w:cstheme="majorHAnsi"/>
                <w:b/>
                <w:bCs w:val="0"/>
                <w:color w:val="000000"/>
                <w:sz w:val="16"/>
                <w:szCs w:val="16"/>
              </w:rPr>
            </w:pPr>
            <w:r>
              <w:rPr>
                <w:rFonts w:asciiTheme="majorHAnsi" w:hAnsiTheme="majorHAnsi"/>
                <w:b/>
                <w:color w:val="000000"/>
                <w:sz w:val="16"/>
              </w:rPr>
              <w:t>Total</w:t>
            </w:r>
          </w:p>
        </w:tc>
        <w:tc>
          <w:tcPr>
            <w:tcW w:w="649" w:type="pct"/>
            <w:gridSpan w:val="2"/>
            <w:tcBorders>
              <w:bottom w:val="single" w:sz="18" w:space="0" w:color="7D9AA8" w:themeColor="accent1" w:themeTint="99"/>
            </w:tcBorders>
            <w:noWrap/>
            <w:hideMark/>
          </w:tcPr>
          <w:p w14:paraId="4287BB27"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172 929 666</w:t>
            </w:r>
          </w:p>
        </w:tc>
        <w:tc>
          <w:tcPr>
            <w:tcW w:w="648" w:type="pct"/>
            <w:tcBorders>
              <w:bottom w:val="single" w:sz="18" w:space="0" w:color="7D9AA8" w:themeColor="accent1" w:themeTint="99"/>
            </w:tcBorders>
            <w:noWrap/>
            <w:hideMark/>
          </w:tcPr>
          <w:p w14:paraId="6C238F06"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175 709 411</w:t>
            </w:r>
          </w:p>
        </w:tc>
        <w:tc>
          <w:tcPr>
            <w:tcW w:w="648" w:type="pct"/>
            <w:tcBorders>
              <w:bottom w:val="single" w:sz="18" w:space="0" w:color="7D9AA8" w:themeColor="accent1" w:themeTint="99"/>
            </w:tcBorders>
            <w:noWrap/>
            <w:hideMark/>
          </w:tcPr>
          <w:p w14:paraId="2B32BA70"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175 004 537</w:t>
            </w:r>
          </w:p>
        </w:tc>
        <w:tc>
          <w:tcPr>
            <w:tcW w:w="648" w:type="pct"/>
            <w:tcBorders>
              <w:bottom w:val="single" w:sz="18" w:space="0" w:color="7D9AA8" w:themeColor="accent1" w:themeTint="99"/>
            </w:tcBorders>
            <w:noWrap/>
            <w:hideMark/>
          </w:tcPr>
          <w:p w14:paraId="54272BD5"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177 114 036</w:t>
            </w:r>
          </w:p>
        </w:tc>
        <w:tc>
          <w:tcPr>
            <w:tcW w:w="648" w:type="pct"/>
            <w:gridSpan w:val="2"/>
            <w:tcBorders>
              <w:bottom w:val="single" w:sz="18" w:space="0" w:color="7D9AA8" w:themeColor="accent1" w:themeTint="99"/>
            </w:tcBorders>
            <w:noWrap/>
            <w:hideMark/>
          </w:tcPr>
          <w:p w14:paraId="7DC97FB7" w14:textId="77777777" w:rsidR="004E4BBE" w:rsidRPr="00A5344E" w:rsidRDefault="004E4BBE" w:rsidP="004E4BBE">
            <w:pPr>
              <w:keepNext/>
              <w:jc w:val="right"/>
              <w:rPr>
                <w:rFonts w:asciiTheme="majorHAnsi" w:hAnsiTheme="majorHAnsi" w:cstheme="majorHAnsi"/>
                <w:b/>
                <w:bCs w:val="0"/>
                <w:color w:val="000000"/>
                <w:sz w:val="16"/>
                <w:szCs w:val="16"/>
              </w:rPr>
            </w:pPr>
            <w:r>
              <w:rPr>
                <w:rFonts w:asciiTheme="majorHAnsi" w:hAnsiTheme="majorHAnsi"/>
                <w:b/>
                <w:sz w:val="16"/>
              </w:rPr>
              <w:t>175 588 003</w:t>
            </w:r>
          </w:p>
        </w:tc>
        <w:tc>
          <w:tcPr>
            <w:tcW w:w="647" w:type="pct"/>
            <w:tcBorders>
              <w:bottom w:val="single" w:sz="18" w:space="0" w:color="7D9AA8" w:themeColor="accent1" w:themeTint="99"/>
            </w:tcBorders>
            <w:noWrap/>
            <w:hideMark/>
          </w:tcPr>
          <w:p w14:paraId="36357A8E" w14:textId="77777777" w:rsidR="004E4BBE" w:rsidRPr="00A5344E" w:rsidRDefault="004E4BBE" w:rsidP="004E4BBE">
            <w:pPr>
              <w:keepNext/>
              <w:jc w:val="right"/>
              <w:rPr>
                <w:rFonts w:asciiTheme="majorHAnsi" w:hAnsiTheme="majorHAnsi" w:cstheme="majorHAnsi"/>
                <w:b/>
                <w:bCs w:val="0"/>
                <w:i/>
                <w:iCs/>
                <w:color w:val="000000"/>
                <w:sz w:val="16"/>
                <w:szCs w:val="16"/>
              </w:rPr>
            </w:pPr>
            <w:r>
              <w:rPr>
                <w:rFonts w:asciiTheme="majorHAnsi" w:hAnsiTheme="majorHAnsi"/>
                <w:b/>
                <w:sz w:val="16"/>
              </w:rPr>
              <w:t>-2 658 337</w:t>
            </w:r>
          </w:p>
        </w:tc>
      </w:tr>
      <w:tr w:rsidR="004E4BBE" w:rsidRPr="00A5344E" w14:paraId="4E37D719"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tcBorders>
              <w:top w:val="single" w:sz="18" w:space="0" w:color="7D9AA8" w:themeColor="accent1" w:themeTint="99"/>
              <w:bottom w:val="single" w:sz="18" w:space="0" w:color="7D9AA8" w:themeColor="accent1" w:themeTint="99"/>
            </w:tcBorders>
            <w:noWrap/>
            <w:hideMark/>
          </w:tcPr>
          <w:p w14:paraId="15F9CAFC" w14:textId="77777777" w:rsidR="004E4BBE" w:rsidRPr="00A5344E" w:rsidRDefault="004E4BBE" w:rsidP="004E4BBE">
            <w:pPr>
              <w:keepNext/>
              <w:rPr>
                <w:rFonts w:asciiTheme="majorHAnsi" w:hAnsiTheme="majorHAnsi" w:cstheme="majorHAnsi"/>
                <w:b/>
                <w:bCs w:val="0"/>
                <w:color w:val="000000"/>
                <w:sz w:val="16"/>
                <w:szCs w:val="16"/>
              </w:rPr>
            </w:pPr>
            <w:r>
              <w:rPr>
                <w:rFonts w:asciiTheme="majorHAnsi" w:hAnsiTheme="majorHAnsi"/>
                <w:b/>
                <w:color w:val="000000"/>
                <w:sz w:val="16"/>
              </w:rPr>
              <w:t xml:space="preserve">Solde à la charge des </w:t>
            </w:r>
          </w:p>
          <w:p w14:paraId="2AECD2BB" w14:textId="77777777" w:rsidR="004E4BBE" w:rsidRPr="00A5344E" w:rsidRDefault="004E4BBE" w:rsidP="004E4BBE">
            <w:pPr>
              <w:keepNext/>
              <w:rPr>
                <w:rFonts w:asciiTheme="majorHAnsi" w:hAnsiTheme="majorHAnsi" w:cstheme="majorHAnsi"/>
                <w:b/>
                <w:bCs w:val="0"/>
                <w:color w:val="000000"/>
                <w:sz w:val="16"/>
                <w:szCs w:val="16"/>
              </w:rPr>
            </w:pPr>
            <w:r>
              <w:rPr>
                <w:rFonts w:asciiTheme="majorHAnsi" w:hAnsiTheme="majorHAnsi"/>
                <w:b/>
                <w:color w:val="000000"/>
                <w:sz w:val="16"/>
              </w:rPr>
              <w:t>communes</w:t>
            </w:r>
          </w:p>
        </w:tc>
        <w:tc>
          <w:tcPr>
            <w:tcW w:w="649" w:type="pct"/>
            <w:gridSpan w:val="2"/>
            <w:tcBorders>
              <w:top w:val="single" w:sz="18" w:space="0" w:color="7D9AA8" w:themeColor="accent1" w:themeTint="99"/>
              <w:bottom w:val="single" w:sz="18" w:space="0" w:color="7D9AA8" w:themeColor="accent1" w:themeTint="99"/>
            </w:tcBorders>
            <w:noWrap/>
            <w:hideMark/>
          </w:tcPr>
          <w:p w14:paraId="5A5D17B7"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1 299 240 307</w:t>
            </w:r>
          </w:p>
        </w:tc>
        <w:tc>
          <w:tcPr>
            <w:tcW w:w="648" w:type="pct"/>
            <w:tcBorders>
              <w:top w:val="single" w:sz="18" w:space="0" w:color="7D9AA8" w:themeColor="accent1" w:themeTint="99"/>
              <w:bottom w:val="single" w:sz="18" w:space="0" w:color="7D9AA8" w:themeColor="accent1" w:themeTint="99"/>
            </w:tcBorders>
            <w:noWrap/>
            <w:hideMark/>
          </w:tcPr>
          <w:p w14:paraId="4063A1C5"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1 333 601 120</w:t>
            </w:r>
          </w:p>
        </w:tc>
        <w:tc>
          <w:tcPr>
            <w:tcW w:w="648" w:type="pct"/>
            <w:tcBorders>
              <w:top w:val="single" w:sz="18" w:space="0" w:color="7D9AA8" w:themeColor="accent1" w:themeTint="99"/>
              <w:bottom w:val="single" w:sz="18" w:space="0" w:color="7D9AA8" w:themeColor="accent1" w:themeTint="99"/>
            </w:tcBorders>
            <w:noWrap/>
            <w:hideMark/>
          </w:tcPr>
          <w:p w14:paraId="4941D7AF"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1 374 302 235</w:t>
            </w:r>
          </w:p>
        </w:tc>
        <w:tc>
          <w:tcPr>
            <w:tcW w:w="648" w:type="pct"/>
            <w:tcBorders>
              <w:top w:val="single" w:sz="18" w:space="0" w:color="7D9AA8" w:themeColor="accent1" w:themeTint="99"/>
              <w:bottom w:val="single" w:sz="18" w:space="0" w:color="7D9AA8" w:themeColor="accent1" w:themeTint="99"/>
            </w:tcBorders>
            <w:noWrap/>
            <w:hideMark/>
          </w:tcPr>
          <w:p w14:paraId="7DFC3B99"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1 378 202 362</w:t>
            </w:r>
          </w:p>
        </w:tc>
        <w:tc>
          <w:tcPr>
            <w:tcW w:w="648" w:type="pct"/>
            <w:gridSpan w:val="2"/>
            <w:tcBorders>
              <w:top w:val="single" w:sz="18" w:space="0" w:color="7D9AA8" w:themeColor="accent1" w:themeTint="99"/>
              <w:bottom w:val="single" w:sz="18" w:space="0" w:color="7D9AA8" w:themeColor="accent1" w:themeTint="99"/>
            </w:tcBorders>
            <w:noWrap/>
            <w:hideMark/>
          </w:tcPr>
          <w:p w14:paraId="5087536B" w14:textId="77777777" w:rsidR="004E4BBE" w:rsidRPr="00A5344E" w:rsidRDefault="004E4BBE" w:rsidP="004E4BBE">
            <w:pPr>
              <w:keepNext/>
              <w:jc w:val="right"/>
              <w:rPr>
                <w:rFonts w:asciiTheme="majorHAnsi" w:hAnsiTheme="majorHAnsi" w:cstheme="majorHAnsi"/>
                <w:color w:val="000000"/>
                <w:sz w:val="16"/>
                <w:szCs w:val="16"/>
              </w:rPr>
            </w:pPr>
            <w:r>
              <w:rPr>
                <w:rFonts w:asciiTheme="majorHAnsi" w:hAnsiTheme="majorHAnsi"/>
                <w:sz w:val="16"/>
              </w:rPr>
              <w:t>1 445 942 626</w:t>
            </w:r>
          </w:p>
        </w:tc>
        <w:tc>
          <w:tcPr>
            <w:tcW w:w="647" w:type="pct"/>
            <w:tcBorders>
              <w:top w:val="single" w:sz="18" w:space="0" w:color="7D9AA8" w:themeColor="accent1" w:themeTint="99"/>
              <w:bottom w:val="single" w:sz="18" w:space="0" w:color="7D9AA8" w:themeColor="accent1" w:themeTint="99"/>
            </w:tcBorders>
            <w:noWrap/>
            <w:hideMark/>
          </w:tcPr>
          <w:p w14:paraId="72980D01" w14:textId="77777777" w:rsidR="004E4BBE" w:rsidRPr="00A5344E" w:rsidRDefault="004E4BBE" w:rsidP="004E4BBE">
            <w:pPr>
              <w:keepNext/>
              <w:jc w:val="right"/>
              <w:rPr>
                <w:rFonts w:asciiTheme="majorHAnsi" w:hAnsiTheme="majorHAnsi" w:cstheme="majorHAnsi"/>
                <w:i/>
                <w:iCs/>
                <w:color w:val="000000"/>
                <w:sz w:val="16"/>
                <w:szCs w:val="16"/>
              </w:rPr>
            </w:pPr>
          </w:p>
        </w:tc>
      </w:tr>
      <w:tr w:rsidR="004E4BBE" w:rsidRPr="00A5344E" w14:paraId="6B44C8E0" w14:textId="77777777" w:rsidTr="00A513C6">
        <w:trPr>
          <w:cnfStyle w:val="000000010000" w:firstRow="0" w:lastRow="0" w:firstColumn="0" w:lastColumn="0" w:oddVBand="0" w:evenVBand="0" w:oddHBand="0" w:evenHBand="1" w:firstRowFirstColumn="0" w:firstRowLastColumn="0" w:lastRowFirstColumn="0" w:lastRowLastColumn="0"/>
          <w:trHeight w:val="330"/>
        </w:trPr>
        <w:tc>
          <w:tcPr>
            <w:tcW w:w="1540" w:type="pct"/>
            <w:gridSpan w:val="2"/>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4F43BE1C" w14:textId="77777777" w:rsidR="004E4BBE" w:rsidRPr="00A5344E" w:rsidRDefault="004E4BBE" w:rsidP="004E4BBE">
            <w:pPr>
              <w:keepNext/>
              <w:rPr>
                <w:rFonts w:asciiTheme="majorHAnsi" w:hAnsiTheme="majorHAnsi" w:cstheme="majorHAnsi"/>
                <w:b/>
                <w:bCs w:val="0"/>
                <w:color w:val="000000"/>
                <w:sz w:val="16"/>
                <w:szCs w:val="16"/>
              </w:rPr>
            </w:pPr>
            <w:r>
              <w:rPr>
                <w:rFonts w:asciiTheme="majorHAnsi" w:hAnsiTheme="majorHAnsi"/>
                <w:b/>
                <w:color w:val="000000"/>
                <w:sz w:val="16"/>
              </w:rPr>
              <w:t>Hausse totale des charges communales</w:t>
            </w:r>
          </w:p>
        </w:tc>
        <w:tc>
          <w:tcPr>
            <w:tcW w:w="221"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74E124D1"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7C4E4E4C"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631EBADC"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2CF37080"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gridSpan w:val="2"/>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122FAB88"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7"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49D42964" w14:textId="77777777" w:rsidR="004E4BBE" w:rsidRPr="00A5344E" w:rsidRDefault="004E4BBE" w:rsidP="004E4BBE">
            <w:pPr>
              <w:keepNext/>
              <w:rPr>
                <w:rFonts w:asciiTheme="majorHAnsi" w:hAnsiTheme="majorHAnsi" w:cstheme="majorHAnsi"/>
                <w:b/>
                <w:bCs w:val="0"/>
                <w:i/>
                <w:iCs/>
                <w:color w:val="000000"/>
                <w:sz w:val="16"/>
                <w:szCs w:val="16"/>
              </w:rPr>
            </w:pPr>
            <w:r>
              <w:rPr>
                <w:rFonts w:asciiTheme="majorHAnsi" w:hAnsiTheme="majorHAnsi"/>
                <w:b/>
                <w:i/>
                <w:color w:val="000000"/>
                <w:sz w:val="16"/>
              </w:rPr>
              <w:t>-146 702 319</w:t>
            </w:r>
          </w:p>
        </w:tc>
      </w:tr>
      <w:bookmarkEnd w:id="30"/>
    </w:tbl>
    <w:p w14:paraId="391B1048" w14:textId="494BEDEC" w:rsidR="00256F04" w:rsidRPr="00A5344E" w:rsidRDefault="00256F04" w:rsidP="00DC432E">
      <w:pPr>
        <w:pStyle w:val="Textkrper"/>
        <w:spacing w:line="270" w:lineRule="atLeast"/>
        <w:rPr>
          <w:rFonts w:asciiTheme="majorHAnsi" w:hAnsiTheme="majorHAnsi" w:cstheme="majorHAnsi"/>
        </w:rPr>
      </w:pPr>
    </w:p>
    <w:p w14:paraId="7DE125B5" w14:textId="6EA88926" w:rsidR="00984F56" w:rsidRPr="00DC432E" w:rsidRDefault="00984F56" w:rsidP="00DC432E">
      <w:pPr>
        <w:rPr>
          <w:rFonts w:asciiTheme="majorHAnsi" w:hAnsiTheme="majorHAnsi" w:cstheme="majorHAnsi"/>
        </w:rPr>
      </w:pPr>
      <w:r>
        <w:br w:type="page"/>
      </w:r>
    </w:p>
    <w:p w14:paraId="2CE075F8" w14:textId="77777777" w:rsidR="004E4BBE" w:rsidRPr="00A5344E" w:rsidRDefault="004E4BBE" w:rsidP="004E4BBE">
      <w:pPr>
        <w:pStyle w:val="H1"/>
        <w:rPr>
          <w:rFonts w:cstheme="majorHAnsi"/>
        </w:rPr>
      </w:pPr>
      <w:bookmarkStart w:id="31" w:name="_Ref185250164"/>
      <w:bookmarkStart w:id="32" w:name="_Ref185250340"/>
      <w:bookmarkStart w:id="33" w:name="_Toc196227253"/>
      <w:r>
        <w:lastRenderedPageBreak/>
        <w:t>Analyse par catégorie de communes</w:t>
      </w:r>
      <w:bookmarkEnd w:id="31"/>
      <w:bookmarkEnd w:id="32"/>
      <w:bookmarkEnd w:id="33"/>
    </w:p>
    <w:p w14:paraId="2D1CB32B" w14:textId="3FB9160E" w:rsidR="004E4BBE" w:rsidRPr="00A5344E" w:rsidRDefault="004E4BBE" w:rsidP="004E4BBE">
      <w:pPr>
        <w:pStyle w:val="berschrift2nummeriert"/>
        <w:rPr>
          <w:rFonts w:cstheme="majorHAnsi"/>
        </w:rPr>
      </w:pPr>
      <w:bookmarkStart w:id="34" w:name="_Ref185250249"/>
      <w:bookmarkStart w:id="35" w:name="_Toc196227254"/>
      <w:r>
        <w:t>Analyse selon différentes catégories de communes</w:t>
      </w:r>
      <w:bookmarkEnd w:id="34"/>
      <w:bookmarkEnd w:id="35"/>
    </w:p>
    <w:p w14:paraId="42570421" w14:textId="77777777" w:rsidR="004E4BBE" w:rsidRPr="00D31D9E" w:rsidRDefault="004E4BBE" w:rsidP="004E4BBE">
      <w:pPr>
        <w:rPr>
          <w:rFonts w:asciiTheme="majorHAnsi" w:hAnsiTheme="majorHAnsi" w:cstheme="majorHAnsi"/>
          <w:szCs w:val="21"/>
        </w:rPr>
      </w:pPr>
      <w:r>
        <w:rPr>
          <w:rFonts w:asciiTheme="majorHAnsi" w:hAnsiTheme="majorHAnsi"/>
        </w:rPr>
        <w:t>Une étude réalisée en 2005 par la société Ecoplan AG a montré que ni le</w:t>
      </w:r>
      <w:r>
        <w:t xml:space="preserve"> type de commune</w:t>
      </w:r>
      <w:r>
        <w:rPr>
          <w:rFonts w:asciiTheme="majorHAnsi" w:hAnsiTheme="majorHAnsi"/>
        </w:rPr>
        <w:t>, ni la région cantonale n’étaient déterminants concernant l’évolution disparate des charges d’une commune à l’autre. Cette étude a constaté que c’est l’indice de rendement fiscal harmonisé (IRH) qui est à l’origine des différences les plus marquées entre les communes.</w:t>
      </w:r>
    </w:p>
    <w:p w14:paraId="1F46302B" w14:textId="338D0D0B" w:rsidR="004E4BBE" w:rsidRPr="00D31D9E" w:rsidRDefault="004E4BBE" w:rsidP="004E4BBE">
      <w:pPr>
        <w:rPr>
          <w:rFonts w:asciiTheme="majorHAnsi" w:hAnsiTheme="majorHAnsi" w:cstheme="majorHAnsi"/>
          <w:szCs w:val="21"/>
        </w:rPr>
      </w:pPr>
      <w:r>
        <w:rPr>
          <w:rFonts w:asciiTheme="majorHAnsi" w:hAnsiTheme="majorHAnsi"/>
        </w:rPr>
        <w:t>C’est pourquoi en 2024, l’analyse permanente se focalise une fois encore sur l’IRH et la quotité d’impôt des communes.</w:t>
      </w:r>
    </w:p>
    <w:p w14:paraId="62B2B4B7" w14:textId="77777777" w:rsidR="004E4BBE" w:rsidRPr="00D31D9E" w:rsidRDefault="004E4BBE" w:rsidP="004E4BBE">
      <w:pPr>
        <w:rPr>
          <w:rFonts w:asciiTheme="majorHAnsi" w:hAnsiTheme="majorHAnsi" w:cstheme="majorHAnsi"/>
          <w:szCs w:val="21"/>
        </w:rPr>
      </w:pPr>
      <w:r>
        <w:rPr>
          <w:rFonts w:asciiTheme="majorHAnsi" w:hAnsiTheme="majorHAnsi"/>
        </w:rPr>
        <w:t>Cette démarche est également pertinente pour les raisons suivantes :</w:t>
      </w:r>
    </w:p>
    <w:p w14:paraId="7CCBBB2D" w14:textId="5466B404" w:rsidR="004E4BBE" w:rsidRPr="00D31D9E" w:rsidRDefault="004E4BBE" w:rsidP="004E4BBE">
      <w:pPr>
        <w:pStyle w:val="Aufzhlungszeichen"/>
        <w:contextualSpacing w:val="0"/>
        <w:rPr>
          <w:rFonts w:asciiTheme="majorHAnsi" w:hAnsiTheme="majorHAnsi" w:cstheme="majorHAnsi"/>
          <w:szCs w:val="21"/>
        </w:rPr>
      </w:pPr>
      <w:r>
        <w:rPr>
          <w:rFonts w:asciiTheme="majorHAnsi" w:hAnsiTheme="majorHAnsi"/>
        </w:rPr>
        <w:t>l’IRH est la principale base de calcul des prestations versées au titre de la péréquation financière ;</w:t>
      </w:r>
    </w:p>
    <w:p w14:paraId="2ED8A05D" w14:textId="2A1AD0AC" w:rsidR="004E4BBE" w:rsidRPr="00D31D9E" w:rsidRDefault="004E4BBE" w:rsidP="004E4BBE">
      <w:pPr>
        <w:pStyle w:val="Aufzhlungszeichen"/>
        <w:contextualSpacing w:val="0"/>
        <w:rPr>
          <w:rFonts w:asciiTheme="majorHAnsi" w:hAnsiTheme="majorHAnsi" w:cstheme="majorHAnsi"/>
          <w:szCs w:val="21"/>
        </w:rPr>
      </w:pPr>
      <w:r>
        <w:rPr>
          <w:rFonts w:asciiTheme="majorHAnsi" w:hAnsiTheme="majorHAnsi"/>
        </w:rPr>
        <w:t>l’IRH et la quotité d’impôt des communes sont en général fortement corrélés (un faible IRH va souvent de pair avec une quotité d’impôt élevée) ;</w:t>
      </w:r>
    </w:p>
    <w:p w14:paraId="478CE2BB" w14:textId="6A27329A" w:rsidR="004E4BBE" w:rsidRPr="00D31D9E" w:rsidRDefault="004E4BBE" w:rsidP="004E4BBE">
      <w:pPr>
        <w:pStyle w:val="Aufzhlungszeichen"/>
        <w:contextualSpacing w:val="0"/>
        <w:rPr>
          <w:rFonts w:asciiTheme="majorHAnsi" w:hAnsiTheme="majorHAnsi" w:cstheme="majorHAnsi"/>
          <w:szCs w:val="21"/>
        </w:rPr>
      </w:pPr>
      <w:r>
        <w:rPr>
          <w:rFonts w:asciiTheme="majorHAnsi" w:hAnsiTheme="majorHAnsi"/>
        </w:rPr>
        <w:t xml:space="preserve">l’IRH est le principal indicateur sur lequel </w:t>
      </w:r>
      <w:r w:rsidR="00121DB3">
        <w:rPr>
          <w:rFonts w:asciiTheme="majorHAnsi" w:hAnsiTheme="majorHAnsi"/>
        </w:rPr>
        <w:t xml:space="preserve">se fonde </w:t>
      </w:r>
      <w:r>
        <w:rPr>
          <w:rFonts w:asciiTheme="majorHAnsi" w:hAnsiTheme="majorHAnsi"/>
        </w:rPr>
        <w:t>le Conseil-exécutif pour affiner les instruments de la LPFC (réduction des disparités et dotation minimale)</w:t>
      </w:r>
      <w:r w:rsidR="00121DB3">
        <w:rPr>
          <w:rFonts w:asciiTheme="majorHAnsi" w:hAnsiTheme="majorHAnsi"/>
        </w:rPr>
        <w:t>.</w:t>
      </w:r>
    </w:p>
    <w:p w14:paraId="02E2FCB3" w14:textId="77777777" w:rsidR="004E4BBE" w:rsidRPr="00D31D9E" w:rsidRDefault="004E4BBE" w:rsidP="004E4BBE">
      <w:pPr>
        <w:rPr>
          <w:rFonts w:asciiTheme="majorHAnsi" w:hAnsiTheme="majorHAnsi" w:cstheme="majorHAnsi"/>
          <w:szCs w:val="21"/>
        </w:rPr>
      </w:pPr>
    </w:p>
    <w:p w14:paraId="660E19B9" w14:textId="14DAA754" w:rsidR="004E4BBE" w:rsidRPr="00D31D9E" w:rsidRDefault="004E4BBE" w:rsidP="004E4BBE">
      <w:pPr>
        <w:rPr>
          <w:rFonts w:asciiTheme="majorHAnsi" w:hAnsiTheme="majorHAnsi" w:cstheme="majorHAnsi"/>
          <w:szCs w:val="21"/>
        </w:rPr>
      </w:pPr>
      <w:r>
        <w:rPr>
          <w:rFonts w:asciiTheme="majorHAnsi" w:hAnsiTheme="majorHAnsi"/>
        </w:rPr>
        <w:t xml:space="preserve">Dans l’analyse par catégorie de communes, il est impossible de tenir compte des parts communales </w:t>
      </w:r>
      <w:r w:rsidR="00121DB3">
        <w:rPr>
          <w:rFonts w:asciiTheme="majorHAnsi" w:hAnsiTheme="majorHAnsi"/>
        </w:rPr>
        <w:t>à</w:t>
      </w:r>
      <w:r>
        <w:rPr>
          <w:rFonts w:asciiTheme="majorHAnsi" w:hAnsiTheme="majorHAnsi"/>
        </w:rPr>
        <w:t xml:space="preserve"> la compensation des charges de traitements du corps enseignant. Depuis la réforme du financement de l’école obligatoire (RFEO) mise en place en 2012, le canton ne peut </w:t>
      </w:r>
      <w:r w:rsidR="00121DB3">
        <w:rPr>
          <w:rFonts w:asciiTheme="majorHAnsi" w:hAnsiTheme="majorHAnsi"/>
        </w:rPr>
        <w:t xml:space="preserve">en effet </w:t>
      </w:r>
      <w:r>
        <w:rPr>
          <w:rFonts w:asciiTheme="majorHAnsi" w:hAnsiTheme="majorHAnsi"/>
        </w:rPr>
        <w:t xml:space="preserve">plus calculer les dépenses précises que les communes engagent pour les traitements des personnels enseignants de l’école enfantine et de l’école obligatoire. </w:t>
      </w:r>
      <w:r w:rsidR="003473CA">
        <w:rPr>
          <w:rFonts w:asciiTheme="majorHAnsi" w:hAnsiTheme="majorHAnsi"/>
        </w:rPr>
        <w:t>Ceci vient du fait que la</w:t>
      </w:r>
      <w:r>
        <w:rPr>
          <w:rFonts w:asciiTheme="majorHAnsi" w:hAnsiTheme="majorHAnsi"/>
        </w:rPr>
        <w:t xml:space="preserve"> Direction de l’instruction publique et de la culture décompte les coûts de traitement directement avec les communes scolaires et leurs syndicats, tandis que les contributions par élève sont versées aux communes de domicile des élèves. </w:t>
      </w:r>
      <w:r w:rsidR="003473CA">
        <w:rPr>
          <w:rFonts w:asciiTheme="majorHAnsi" w:hAnsiTheme="majorHAnsi"/>
        </w:rPr>
        <w:t>De plus, l</w:t>
      </w:r>
      <w:r>
        <w:rPr>
          <w:rFonts w:asciiTheme="majorHAnsi" w:hAnsiTheme="majorHAnsi"/>
        </w:rPr>
        <w:t>es communes et les syndicats de communes scolaires règlent entre eux l’imputation des traitements attribuables aux élèves d’autres communes, sans y associer le canton.</w:t>
      </w:r>
    </w:p>
    <w:p w14:paraId="6AA05245" w14:textId="22EC8DC4" w:rsidR="004E4BBE" w:rsidRPr="00A5344E" w:rsidRDefault="004E4BBE" w:rsidP="004E4BBE">
      <w:pPr>
        <w:pStyle w:val="berschrift2nummeriert"/>
        <w:rPr>
          <w:rFonts w:cstheme="majorHAnsi"/>
        </w:rPr>
      </w:pPr>
      <w:bookmarkStart w:id="36" w:name="_Toc196227255"/>
      <w:r>
        <w:t>Analyse selon l’IRH - période 2019 à 2023</w:t>
      </w:r>
      <w:bookmarkEnd w:id="36"/>
    </w:p>
    <w:p w14:paraId="7F34CF24" w14:textId="561708D6" w:rsidR="004E4BBE" w:rsidRPr="00A5344E" w:rsidRDefault="007732EE" w:rsidP="00D31D9E">
      <w:pPr>
        <w:rPr>
          <w:rFonts w:asciiTheme="majorHAnsi" w:hAnsiTheme="majorHAnsi" w:cstheme="majorHAnsi"/>
        </w:rPr>
      </w:pPr>
      <w:r>
        <w:rPr>
          <w:rFonts w:asciiTheme="majorHAnsi" w:hAnsiTheme="majorHAnsi"/>
        </w:rPr>
        <w:t>L’</w:t>
      </w:r>
      <w:r w:rsidRPr="00A5344E">
        <w:rPr>
          <w:rFonts w:asciiTheme="majorHAnsi" w:hAnsiTheme="majorHAnsi" w:cstheme="majorHAnsi"/>
        </w:rPr>
        <w:fldChar w:fldCharType="begin"/>
      </w:r>
      <w:r w:rsidRPr="00A5344E">
        <w:rPr>
          <w:rFonts w:asciiTheme="majorHAnsi" w:hAnsiTheme="majorHAnsi" w:cstheme="majorHAnsi"/>
        </w:rPr>
        <w:instrText xml:space="preserve"> REF _Ref187916278 \h  </w:instrText>
      </w:r>
      <w:r w:rsidR="00F42175" w:rsidRPr="00F42175">
        <w:rPr>
          <w:rFonts w:asciiTheme="majorHAnsi" w:hAnsiTheme="majorHAnsi" w:cstheme="majorHAnsi"/>
        </w:rPr>
        <w:instrText>\* charformat</w:instrText>
      </w:r>
      <w:r w:rsidR="0063677D">
        <w:rPr>
          <w:rFonts w:asciiTheme="majorHAnsi" w:hAnsiTheme="majorHAnsi" w:cstheme="majorHAnsi"/>
        </w:rPr>
        <w:instrText xml:space="preserve"> \* Lower</w:instrText>
      </w:r>
      <w:r w:rsidRPr="00A5344E">
        <w:rPr>
          <w:rFonts w:asciiTheme="majorHAnsi" w:hAnsiTheme="majorHAnsi" w:cstheme="majorHAnsi"/>
        </w:rPr>
        <w:instrText xml:space="preserve"> </w:instrText>
      </w:r>
      <w:r w:rsidRPr="00A5344E">
        <w:rPr>
          <w:rFonts w:asciiTheme="majorHAnsi" w:hAnsiTheme="majorHAnsi" w:cstheme="majorHAnsi"/>
        </w:rPr>
      </w:r>
      <w:r w:rsidRPr="00A5344E">
        <w:rPr>
          <w:rFonts w:asciiTheme="majorHAnsi" w:hAnsiTheme="majorHAnsi" w:cstheme="majorHAnsi"/>
        </w:rPr>
        <w:fldChar w:fldCharType="separate"/>
      </w:r>
      <w:r w:rsidR="00F42175" w:rsidRPr="00F42175">
        <w:rPr>
          <w:rFonts w:asciiTheme="majorHAnsi" w:hAnsiTheme="majorHAnsi" w:cstheme="majorHAnsi"/>
        </w:rPr>
        <w:t>illustration 7</w:t>
      </w:r>
      <w:r w:rsidRPr="00A5344E">
        <w:rPr>
          <w:rFonts w:asciiTheme="majorHAnsi" w:hAnsiTheme="majorHAnsi" w:cstheme="majorHAnsi"/>
        </w:rPr>
        <w:fldChar w:fldCharType="end"/>
      </w:r>
      <w:r>
        <w:rPr>
          <w:rFonts w:asciiTheme="majorHAnsi" w:hAnsiTheme="majorHAnsi"/>
        </w:rPr>
        <w:t xml:space="preserve"> montre comment les charges ont évolué à la hausse ou à la baisse depuis 2019. Le principal facteur d’augmentation des charges est l’action sociale. Les communes financièrement faibles sont les plus touchées par cette évolution, du fait que les parts communales dépendent de leur population résidante, et non de leur capacité contributive.</w:t>
      </w:r>
    </w:p>
    <w:p w14:paraId="1AAF1F2F" w14:textId="77777777" w:rsidR="00984F56" w:rsidRPr="00A5344E" w:rsidRDefault="00984F56" w:rsidP="00D31D9E">
      <w:pPr>
        <w:rPr>
          <w:rFonts w:asciiTheme="majorHAnsi" w:hAnsiTheme="majorHAnsi" w:cstheme="majorHAnsi"/>
        </w:rPr>
      </w:pPr>
    </w:p>
    <w:p w14:paraId="27FB8493" w14:textId="77777777" w:rsidR="004E4BBE" w:rsidRPr="00A5344E" w:rsidRDefault="004E4BBE" w:rsidP="00D31D9E">
      <w:pPr>
        <w:rPr>
          <w:rFonts w:asciiTheme="majorHAnsi" w:hAnsiTheme="majorHAnsi" w:cstheme="majorHAnsi"/>
        </w:rPr>
      </w:pPr>
      <w:r>
        <w:rPr>
          <w:rFonts w:asciiTheme="majorHAnsi" w:hAnsiTheme="majorHAnsi"/>
        </w:rPr>
        <w:t>L’augmentation des charges des communes dont l’IRH est supérieur à 100 vient essentiellement de la prestation compensatoire élevée que verse la commune de Gessenay dans le cadre de la réduction des disparités (péréquation financière directe).</w:t>
      </w:r>
    </w:p>
    <w:p w14:paraId="1F299FB6" w14:textId="199AAF89" w:rsidR="007732EE" w:rsidRPr="00A5344E" w:rsidRDefault="007732EE" w:rsidP="00D31D9E">
      <w:pPr>
        <w:pStyle w:val="Textkrper"/>
        <w:spacing w:line="270" w:lineRule="atLeast"/>
        <w:rPr>
          <w:rFonts w:asciiTheme="majorHAnsi" w:hAnsiTheme="majorHAnsi" w:cstheme="majorHAnsi"/>
          <w:lang w:val="de-CH"/>
        </w:rPr>
      </w:pPr>
    </w:p>
    <w:p w14:paraId="3943A5A1" w14:textId="5B805D74" w:rsidR="007732EE" w:rsidRPr="00A5344E" w:rsidRDefault="007732EE" w:rsidP="007732EE">
      <w:pPr>
        <w:pStyle w:val="Beschriftung"/>
        <w:keepNext/>
        <w:rPr>
          <w:rFonts w:asciiTheme="majorHAnsi" w:hAnsiTheme="majorHAnsi" w:cstheme="majorHAnsi"/>
          <w:b/>
          <w:bCs w:val="0"/>
        </w:rPr>
      </w:pPr>
      <w:bookmarkStart w:id="37" w:name="_Ref187916278"/>
      <w:r>
        <w:rPr>
          <w:rFonts w:asciiTheme="majorHAnsi" w:hAnsiTheme="majorHAnsi"/>
          <w:b/>
        </w:rPr>
        <w:lastRenderedPageBreak/>
        <w:t>Illustration</w:t>
      </w:r>
      <w:r w:rsidR="0063677D">
        <w:rPr>
          <w:rFonts w:asciiTheme="majorHAnsi" w:hAnsiTheme="majorHAnsi"/>
          <w:b/>
        </w:rPr>
        <w:t xml:space="preserve"> </w:t>
      </w:r>
      <w:r w:rsidRPr="00A5344E">
        <w:rPr>
          <w:rFonts w:asciiTheme="majorHAnsi" w:hAnsiTheme="majorHAnsi" w:cstheme="majorHAnsi"/>
          <w:b/>
        </w:rPr>
        <w:fldChar w:fldCharType="begin"/>
      </w:r>
      <w:r w:rsidRPr="00A5344E">
        <w:rPr>
          <w:rFonts w:asciiTheme="majorHAnsi" w:hAnsiTheme="majorHAnsi" w:cstheme="majorHAnsi"/>
          <w:b/>
        </w:rPr>
        <w:instrText xml:space="preserve"> SEQ Abbildung \* ARABIC </w:instrText>
      </w:r>
      <w:r w:rsidRPr="00A5344E">
        <w:rPr>
          <w:rFonts w:asciiTheme="majorHAnsi" w:hAnsiTheme="majorHAnsi" w:cstheme="majorHAnsi"/>
          <w:b/>
        </w:rPr>
        <w:fldChar w:fldCharType="separate"/>
      </w:r>
      <w:r w:rsidR="00A513C6" w:rsidRPr="00A5344E">
        <w:rPr>
          <w:rFonts w:asciiTheme="majorHAnsi" w:hAnsiTheme="majorHAnsi" w:cstheme="majorHAnsi"/>
          <w:b/>
        </w:rPr>
        <w:t>7</w:t>
      </w:r>
      <w:r w:rsidRPr="00A5344E">
        <w:rPr>
          <w:rFonts w:asciiTheme="majorHAnsi" w:hAnsiTheme="majorHAnsi" w:cstheme="majorHAnsi"/>
          <w:b/>
        </w:rPr>
        <w:fldChar w:fldCharType="end"/>
      </w:r>
      <w:bookmarkEnd w:id="37"/>
      <w:r>
        <w:rPr>
          <w:rFonts w:asciiTheme="majorHAnsi" w:hAnsiTheme="majorHAnsi"/>
          <w:b/>
        </w:rPr>
        <w:t> :</w:t>
      </w:r>
      <w:r>
        <w:rPr>
          <w:rFonts w:asciiTheme="majorHAnsi" w:hAnsiTheme="majorHAnsi"/>
          <w:b/>
        </w:rPr>
        <w:tab/>
        <w:t>Évolution des charges des communes entre 2019 et 2023 ;</w:t>
      </w:r>
      <w:r>
        <w:rPr>
          <w:rFonts w:asciiTheme="majorHAnsi" w:hAnsiTheme="majorHAnsi"/>
          <w:b/>
        </w:rPr>
        <w:br/>
      </w:r>
      <w:r>
        <w:rPr>
          <w:rFonts w:asciiTheme="majorHAnsi" w:hAnsiTheme="majorHAnsi"/>
          <w:b/>
        </w:rPr>
        <w:tab/>
      </w:r>
      <w:r>
        <w:rPr>
          <w:rFonts w:asciiTheme="majorHAnsi" w:hAnsiTheme="majorHAnsi"/>
          <w:b/>
        </w:rPr>
        <w:tab/>
        <w:t>communes classées par leur IRH en 2023</w:t>
      </w:r>
    </w:p>
    <w:tbl>
      <w:tblPr>
        <w:tblStyle w:val="Ecoplankombi"/>
        <w:tblW w:w="4546" w:type="pct"/>
        <w:tblLayout w:type="fixed"/>
        <w:tblLook w:val="04A0" w:firstRow="1" w:lastRow="0" w:firstColumn="1" w:lastColumn="0" w:noHBand="0" w:noVBand="1"/>
      </w:tblPr>
      <w:tblGrid>
        <w:gridCol w:w="2933"/>
        <w:gridCol w:w="841"/>
        <w:gridCol w:w="839"/>
        <w:gridCol w:w="977"/>
        <w:gridCol w:w="1122"/>
        <w:gridCol w:w="1118"/>
        <w:gridCol w:w="1115"/>
      </w:tblGrid>
      <w:tr w:rsidR="003473CA" w:rsidRPr="00A5344E" w14:paraId="757FDF8D" w14:textId="2837E9DE" w:rsidTr="003473CA">
        <w:trPr>
          <w:cnfStyle w:val="100000000000" w:firstRow="1" w:lastRow="0" w:firstColumn="0" w:lastColumn="0" w:oddVBand="0" w:evenVBand="0" w:oddHBand="0" w:evenHBand="0" w:firstRowFirstColumn="0" w:firstRowLastColumn="0" w:lastRowFirstColumn="0" w:lastRowLastColumn="0"/>
          <w:trHeight w:val="330"/>
        </w:trPr>
        <w:tc>
          <w:tcPr>
            <w:tcW w:w="1640" w:type="pct"/>
            <w:noWrap/>
          </w:tcPr>
          <w:p w14:paraId="4CF61B2D" w14:textId="224AF1D6" w:rsidR="00751DFF" w:rsidRPr="00A5344E" w:rsidRDefault="00751DFF" w:rsidP="00751DFF">
            <w:pPr>
              <w:pStyle w:val="Tabellentext"/>
              <w:rPr>
                <w:rFonts w:asciiTheme="majorHAnsi" w:hAnsiTheme="majorHAnsi" w:cstheme="majorHAnsi"/>
                <w:b/>
                <w:bCs/>
              </w:rPr>
            </w:pPr>
            <w:r>
              <w:rPr>
                <w:rFonts w:asciiTheme="majorHAnsi" w:hAnsiTheme="majorHAnsi"/>
                <w:b/>
              </w:rPr>
              <w:t>Rubrique / catégorie d’IRH</w:t>
            </w:r>
          </w:p>
        </w:tc>
        <w:tc>
          <w:tcPr>
            <w:tcW w:w="470" w:type="pct"/>
            <w:noWrap/>
          </w:tcPr>
          <w:p w14:paraId="187D617F" w14:textId="3E946C39" w:rsidR="00751DFF" w:rsidRPr="00A5344E" w:rsidRDefault="00751DFF" w:rsidP="00751DFF">
            <w:pPr>
              <w:pStyle w:val="Tabellentext"/>
              <w:jc w:val="right"/>
              <w:rPr>
                <w:rFonts w:asciiTheme="majorHAnsi" w:hAnsiTheme="majorHAnsi" w:cstheme="majorHAnsi"/>
                <w:b/>
                <w:bCs/>
              </w:rPr>
            </w:pPr>
            <w:r>
              <w:rPr>
                <w:rFonts w:asciiTheme="majorHAnsi" w:hAnsiTheme="majorHAnsi"/>
                <w:b/>
              </w:rPr>
              <w:t>&lt; 60</w:t>
            </w:r>
          </w:p>
        </w:tc>
        <w:tc>
          <w:tcPr>
            <w:tcW w:w="469" w:type="pct"/>
            <w:noWrap/>
          </w:tcPr>
          <w:p w14:paraId="1D11F7F1" w14:textId="13E4EE73" w:rsidR="00751DFF" w:rsidRPr="00A5344E" w:rsidRDefault="00751DFF" w:rsidP="00751DFF">
            <w:pPr>
              <w:pStyle w:val="Tabellentext"/>
              <w:jc w:val="right"/>
              <w:rPr>
                <w:rFonts w:asciiTheme="majorHAnsi" w:hAnsiTheme="majorHAnsi" w:cstheme="majorHAnsi"/>
                <w:b/>
                <w:bCs/>
              </w:rPr>
            </w:pPr>
            <w:r>
              <w:rPr>
                <w:rFonts w:asciiTheme="majorHAnsi" w:hAnsiTheme="majorHAnsi"/>
                <w:b/>
              </w:rPr>
              <w:t>&gt; 60 et &lt;70</w:t>
            </w:r>
          </w:p>
        </w:tc>
        <w:tc>
          <w:tcPr>
            <w:tcW w:w="546" w:type="pct"/>
            <w:noWrap/>
          </w:tcPr>
          <w:p w14:paraId="556191DF" w14:textId="5AA2ADE3" w:rsidR="00751DFF" w:rsidRPr="00A5344E" w:rsidRDefault="00751DFF" w:rsidP="00751DFF">
            <w:pPr>
              <w:pStyle w:val="Tabellentext"/>
              <w:jc w:val="right"/>
              <w:rPr>
                <w:rFonts w:asciiTheme="majorHAnsi" w:hAnsiTheme="majorHAnsi" w:cstheme="majorHAnsi"/>
                <w:b/>
                <w:bCs/>
              </w:rPr>
            </w:pPr>
            <w:r>
              <w:rPr>
                <w:rFonts w:asciiTheme="majorHAnsi" w:hAnsiTheme="majorHAnsi"/>
                <w:b/>
              </w:rPr>
              <w:t xml:space="preserve">&gt; 70 et </w:t>
            </w:r>
            <w:r w:rsidR="00F3243F">
              <w:rPr>
                <w:rFonts w:asciiTheme="majorHAnsi" w:hAnsiTheme="majorHAnsi"/>
                <w:b/>
              </w:rPr>
              <w:br/>
            </w:r>
            <w:r>
              <w:rPr>
                <w:rFonts w:asciiTheme="majorHAnsi" w:hAnsiTheme="majorHAnsi"/>
                <w:b/>
              </w:rPr>
              <w:t>&lt; 80</w:t>
            </w:r>
          </w:p>
        </w:tc>
        <w:tc>
          <w:tcPr>
            <w:tcW w:w="627" w:type="pct"/>
            <w:noWrap/>
          </w:tcPr>
          <w:p w14:paraId="1B25F021" w14:textId="5210F78B" w:rsidR="00751DFF" w:rsidRPr="00A5344E" w:rsidRDefault="00751DFF" w:rsidP="00751DFF">
            <w:pPr>
              <w:pStyle w:val="Tabellentext"/>
              <w:jc w:val="right"/>
              <w:rPr>
                <w:rFonts w:asciiTheme="majorHAnsi" w:hAnsiTheme="majorHAnsi" w:cstheme="majorHAnsi"/>
                <w:b/>
                <w:bCs/>
              </w:rPr>
            </w:pPr>
            <w:r>
              <w:rPr>
                <w:rFonts w:asciiTheme="majorHAnsi" w:hAnsiTheme="majorHAnsi"/>
                <w:b/>
              </w:rPr>
              <w:t xml:space="preserve">&gt; 80 et </w:t>
            </w:r>
            <w:r w:rsidR="00F3243F">
              <w:rPr>
                <w:rFonts w:asciiTheme="majorHAnsi" w:hAnsiTheme="majorHAnsi"/>
                <w:b/>
              </w:rPr>
              <w:br/>
            </w:r>
            <w:r>
              <w:rPr>
                <w:rFonts w:asciiTheme="majorHAnsi" w:hAnsiTheme="majorHAnsi"/>
                <w:b/>
              </w:rPr>
              <w:t>&lt; 100</w:t>
            </w:r>
          </w:p>
        </w:tc>
        <w:tc>
          <w:tcPr>
            <w:tcW w:w="625" w:type="pct"/>
            <w:noWrap/>
          </w:tcPr>
          <w:p w14:paraId="1979ECD8" w14:textId="5652B08C" w:rsidR="00751DFF" w:rsidRPr="00A5344E" w:rsidRDefault="00751DFF" w:rsidP="00751DFF">
            <w:pPr>
              <w:pStyle w:val="Tabellentext"/>
              <w:jc w:val="right"/>
              <w:rPr>
                <w:rFonts w:asciiTheme="majorHAnsi" w:hAnsiTheme="majorHAnsi" w:cstheme="majorHAnsi"/>
                <w:b/>
                <w:bCs/>
              </w:rPr>
            </w:pPr>
            <w:r>
              <w:rPr>
                <w:rFonts w:asciiTheme="majorHAnsi" w:hAnsiTheme="majorHAnsi"/>
                <w:b/>
              </w:rPr>
              <w:t>&gt; 100</w:t>
            </w:r>
          </w:p>
        </w:tc>
        <w:tc>
          <w:tcPr>
            <w:tcW w:w="623" w:type="pct"/>
          </w:tcPr>
          <w:p w14:paraId="0413B794" w14:textId="3D11780A" w:rsidR="00751DFF" w:rsidRPr="00A5344E" w:rsidRDefault="00751DFF" w:rsidP="00751DFF">
            <w:pPr>
              <w:pStyle w:val="Tabellentext"/>
              <w:jc w:val="right"/>
              <w:rPr>
                <w:rFonts w:asciiTheme="majorHAnsi" w:hAnsiTheme="majorHAnsi" w:cstheme="majorHAnsi"/>
                <w:b/>
                <w:bCs/>
              </w:rPr>
            </w:pPr>
            <w:r>
              <w:rPr>
                <w:rFonts w:asciiTheme="majorHAnsi" w:hAnsiTheme="majorHAnsi"/>
                <w:b/>
              </w:rPr>
              <w:t>Total</w:t>
            </w:r>
          </w:p>
        </w:tc>
      </w:tr>
      <w:tr w:rsidR="003473CA" w:rsidRPr="00A5344E" w14:paraId="58C3C018" w14:textId="037658A6" w:rsidTr="003473CA">
        <w:trPr>
          <w:cnfStyle w:val="000000100000" w:firstRow="0" w:lastRow="0" w:firstColumn="0" w:lastColumn="0" w:oddVBand="0" w:evenVBand="0" w:oddHBand="1" w:evenHBand="0" w:firstRowFirstColumn="0" w:firstRowLastColumn="0" w:lastRowFirstColumn="0" w:lastRowLastColumn="0"/>
          <w:trHeight w:val="330"/>
        </w:trPr>
        <w:tc>
          <w:tcPr>
            <w:tcW w:w="1640" w:type="pct"/>
            <w:noWrap/>
          </w:tcPr>
          <w:p w14:paraId="45B01032" w14:textId="4670A21B" w:rsidR="00751DFF" w:rsidRPr="00A5344E" w:rsidRDefault="00751DFF" w:rsidP="00751DFF">
            <w:pPr>
              <w:pStyle w:val="Tabellentext"/>
              <w:rPr>
                <w:rFonts w:asciiTheme="majorHAnsi" w:hAnsiTheme="majorHAnsi" w:cstheme="majorHAnsi"/>
                <w:b/>
                <w:bCs/>
              </w:rPr>
            </w:pPr>
            <w:r>
              <w:rPr>
                <w:rFonts w:asciiTheme="majorHAnsi" w:hAnsiTheme="majorHAnsi"/>
              </w:rPr>
              <w:t>Charge supplémentaire totale en CHF</w:t>
            </w:r>
          </w:p>
        </w:tc>
        <w:tc>
          <w:tcPr>
            <w:tcW w:w="470" w:type="pct"/>
            <w:noWrap/>
          </w:tcPr>
          <w:p w14:paraId="0E6A1E44" w14:textId="69EEFEE6" w:rsidR="00751DFF" w:rsidRPr="00A5344E" w:rsidRDefault="00751DFF" w:rsidP="00751DFF">
            <w:pPr>
              <w:pStyle w:val="Tabellentext"/>
              <w:jc w:val="right"/>
              <w:rPr>
                <w:rFonts w:asciiTheme="majorHAnsi" w:hAnsiTheme="majorHAnsi" w:cstheme="majorHAnsi"/>
              </w:rPr>
            </w:pPr>
            <w:r>
              <w:rPr>
                <w:rFonts w:asciiTheme="majorHAnsi" w:hAnsiTheme="majorHAnsi"/>
              </w:rPr>
              <w:t>-168 518</w:t>
            </w:r>
          </w:p>
        </w:tc>
        <w:tc>
          <w:tcPr>
            <w:tcW w:w="469" w:type="pct"/>
            <w:noWrap/>
          </w:tcPr>
          <w:p w14:paraId="1817D0DA" w14:textId="5DC4E416" w:rsidR="00751DFF" w:rsidRPr="00A5344E" w:rsidRDefault="00751DFF" w:rsidP="00751DFF">
            <w:pPr>
              <w:pStyle w:val="Tabellentext"/>
              <w:jc w:val="right"/>
              <w:rPr>
                <w:rFonts w:asciiTheme="majorHAnsi" w:hAnsiTheme="majorHAnsi" w:cstheme="majorHAnsi"/>
              </w:rPr>
            </w:pPr>
            <w:r>
              <w:rPr>
                <w:rFonts w:asciiTheme="majorHAnsi" w:hAnsiTheme="majorHAnsi"/>
              </w:rPr>
              <w:t>209 746</w:t>
            </w:r>
          </w:p>
        </w:tc>
        <w:tc>
          <w:tcPr>
            <w:tcW w:w="546" w:type="pct"/>
            <w:noWrap/>
          </w:tcPr>
          <w:p w14:paraId="64B3ECDF" w14:textId="1839CD5D" w:rsidR="00751DFF" w:rsidRPr="00A5344E" w:rsidRDefault="00751DFF" w:rsidP="00751DFF">
            <w:pPr>
              <w:pStyle w:val="Tabellentext"/>
              <w:jc w:val="right"/>
              <w:rPr>
                <w:rFonts w:asciiTheme="majorHAnsi" w:hAnsiTheme="majorHAnsi" w:cstheme="majorHAnsi"/>
              </w:rPr>
            </w:pPr>
            <w:r>
              <w:rPr>
                <w:rFonts w:asciiTheme="majorHAnsi" w:hAnsiTheme="majorHAnsi"/>
              </w:rPr>
              <w:t>3 338 333</w:t>
            </w:r>
          </w:p>
        </w:tc>
        <w:tc>
          <w:tcPr>
            <w:tcW w:w="627" w:type="pct"/>
            <w:noWrap/>
          </w:tcPr>
          <w:p w14:paraId="65931142" w14:textId="5A4A8D1D" w:rsidR="00751DFF" w:rsidRPr="00A5344E" w:rsidRDefault="00751DFF" w:rsidP="00751DFF">
            <w:pPr>
              <w:pStyle w:val="Tabellentext"/>
              <w:jc w:val="right"/>
              <w:rPr>
                <w:rFonts w:asciiTheme="majorHAnsi" w:hAnsiTheme="majorHAnsi" w:cstheme="majorHAnsi"/>
              </w:rPr>
            </w:pPr>
            <w:r>
              <w:rPr>
                <w:rFonts w:asciiTheme="majorHAnsi" w:hAnsiTheme="majorHAnsi"/>
              </w:rPr>
              <w:t>11 973 291</w:t>
            </w:r>
          </w:p>
        </w:tc>
        <w:tc>
          <w:tcPr>
            <w:tcW w:w="625" w:type="pct"/>
            <w:noWrap/>
          </w:tcPr>
          <w:p w14:paraId="560A008B" w14:textId="6AE7C740" w:rsidR="00751DFF" w:rsidRPr="00A5344E" w:rsidRDefault="00751DFF" w:rsidP="00751DFF">
            <w:pPr>
              <w:pStyle w:val="Tabellentext"/>
              <w:jc w:val="right"/>
              <w:rPr>
                <w:rFonts w:asciiTheme="majorHAnsi" w:hAnsiTheme="majorHAnsi" w:cstheme="majorHAnsi"/>
              </w:rPr>
            </w:pPr>
            <w:r>
              <w:rPr>
                <w:rFonts w:asciiTheme="majorHAnsi" w:hAnsiTheme="majorHAnsi"/>
              </w:rPr>
              <w:t>37 675 650</w:t>
            </w:r>
          </w:p>
        </w:tc>
        <w:tc>
          <w:tcPr>
            <w:tcW w:w="623" w:type="pct"/>
          </w:tcPr>
          <w:p w14:paraId="6E338E67" w14:textId="4F6242E0" w:rsidR="00751DFF" w:rsidRPr="00A5344E" w:rsidRDefault="00751DFF" w:rsidP="00751DFF">
            <w:pPr>
              <w:pStyle w:val="Tabellentext"/>
              <w:jc w:val="right"/>
              <w:rPr>
                <w:rFonts w:asciiTheme="majorHAnsi" w:hAnsiTheme="majorHAnsi" w:cstheme="majorHAnsi"/>
              </w:rPr>
            </w:pPr>
            <w:r>
              <w:rPr>
                <w:rFonts w:asciiTheme="majorHAnsi" w:hAnsiTheme="majorHAnsi"/>
              </w:rPr>
              <w:t>53 028 502</w:t>
            </w:r>
          </w:p>
        </w:tc>
      </w:tr>
      <w:tr w:rsidR="003473CA" w:rsidRPr="00A5344E" w14:paraId="734FFB1B" w14:textId="4AEAE4CD" w:rsidTr="003473CA">
        <w:trPr>
          <w:cnfStyle w:val="000000010000" w:firstRow="0" w:lastRow="0" w:firstColumn="0" w:lastColumn="0" w:oddVBand="0" w:evenVBand="0" w:oddHBand="0" w:evenHBand="1" w:firstRowFirstColumn="0" w:firstRowLastColumn="0" w:lastRowFirstColumn="0" w:lastRowLastColumn="0"/>
          <w:trHeight w:val="330"/>
        </w:trPr>
        <w:tc>
          <w:tcPr>
            <w:tcW w:w="1640" w:type="pct"/>
            <w:noWrap/>
          </w:tcPr>
          <w:p w14:paraId="68AD2C43" w14:textId="4E0B93EA" w:rsidR="00751DFF" w:rsidRPr="00A5344E" w:rsidRDefault="00751DFF" w:rsidP="00751DFF">
            <w:pPr>
              <w:pStyle w:val="Tabellentext"/>
              <w:rPr>
                <w:rFonts w:asciiTheme="majorHAnsi" w:hAnsiTheme="majorHAnsi" w:cstheme="majorHAnsi"/>
                <w:b/>
                <w:bCs/>
              </w:rPr>
            </w:pPr>
            <w:r>
              <w:rPr>
                <w:rFonts w:asciiTheme="majorHAnsi" w:hAnsiTheme="majorHAnsi"/>
              </w:rPr>
              <w:t>Charge supplémentaire en dixième de quotité d’impôt</w:t>
            </w:r>
          </w:p>
        </w:tc>
        <w:tc>
          <w:tcPr>
            <w:tcW w:w="470" w:type="pct"/>
            <w:noWrap/>
          </w:tcPr>
          <w:p w14:paraId="5687F47C" w14:textId="319B77F1" w:rsidR="00751DFF" w:rsidRPr="00A5344E" w:rsidRDefault="00751DFF" w:rsidP="00751DFF">
            <w:pPr>
              <w:pStyle w:val="Tabellentext"/>
              <w:jc w:val="right"/>
              <w:rPr>
                <w:rFonts w:asciiTheme="majorHAnsi" w:hAnsiTheme="majorHAnsi" w:cstheme="majorHAnsi"/>
              </w:rPr>
            </w:pPr>
            <w:r>
              <w:rPr>
                <w:rFonts w:asciiTheme="majorHAnsi" w:hAnsiTheme="majorHAnsi"/>
              </w:rPr>
              <w:t>-0,08</w:t>
            </w:r>
          </w:p>
        </w:tc>
        <w:tc>
          <w:tcPr>
            <w:tcW w:w="469" w:type="pct"/>
            <w:noWrap/>
          </w:tcPr>
          <w:p w14:paraId="38BB1356" w14:textId="08DBFB1F" w:rsidR="00751DFF" w:rsidRPr="00A5344E" w:rsidRDefault="00751DFF" w:rsidP="00751DFF">
            <w:pPr>
              <w:pStyle w:val="Tabellentext"/>
              <w:jc w:val="right"/>
              <w:rPr>
                <w:rFonts w:asciiTheme="majorHAnsi" w:hAnsiTheme="majorHAnsi" w:cstheme="majorHAnsi"/>
              </w:rPr>
            </w:pPr>
            <w:r>
              <w:rPr>
                <w:rFonts w:asciiTheme="majorHAnsi" w:hAnsiTheme="majorHAnsi"/>
              </w:rPr>
              <w:t>0,04</w:t>
            </w:r>
          </w:p>
        </w:tc>
        <w:tc>
          <w:tcPr>
            <w:tcW w:w="546" w:type="pct"/>
            <w:noWrap/>
          </w:tcPr>
          <w:p w14:paraId="7BE19F5B" w14:textId="68294857" w:rsidR="00751DFF" w:rsidRPr="00A5344E" w:rsidRDefault="00751DFF" w:rsidP="00751DFF">
            <w:pPr>
              <w:pStyle w:val="Tabellentext"/>
              <w:jc w:val="right"/>
              <w:rPr>
                <w:rFonts w:asciiTheme="majorHAnsi" w:hAnsiTheme="majorHAnsi" w:cstheme="majorHAnsi"/>
              </w:rPr>
            </w:pPr>
            <w:r>
              <w:rPr>
                <w:rFonts w:asciiTheme="majorHAnsi" w:hAnsiTheme="majorHAnsi"/>
              </w:rPr>
              <w:t>0,17</w:t>
            </w:r>
          </w:p>
        </w:tc>
        <w:tc>
          <w:tcPr>
            <w:tcW w:w="627" w:type="pct"/>
            <w:noWrap/>
          </w:tcPr>
          <w:p w14:paraId="19AB7373" w14:textId="358A8748" w:rsidR="00751DFF" w:rsidRPr="00A5344E" w:rsidRDefault="00751DFF" w:rsidP="00751DFF">
            <w:pPr>
              <w:pStyle w:val="Tabellentext"/>
              <w:jc w:val="right"/>
              <w:rPr>
                <w:rFonts w:asciiTheme="majorHAnsi" w:hAnsiTheme="majorHAnsi" w:cstheme="majorHAnsi"/>
              </w:rPr>
            </w:pPr>
            <w:r>
              <w:rPr>
                <w:rFonts w:asciiTheme="majorHAnsi" w:hAnsiTheme="majorHAnsi"/>
              </w:rPr>
              <w:t>0,19</w:t>
            </w:r>
          </w:p>
        </w:tc>
        <w:tc>
          <w:tcPr>
            <w:tcW w:w="625" w:type="pct"/>
            <w:noWrap/>
          </w:tcPr>
          <w:p w14:paraId="6178D353" w14:textId="47F80536" w:rsidR="00751DFF" w:rsidRPr="00A5344E" w:rsidRDefault="00751DFF" w:rsidP="00751DFF">
            <w:pPr>
              <w:pStyle w:val="Tabellentext"/>
              <w:jc w:val="right"/>
              <w:rPr>
                <w:rFonts w:asciiTheme="majorHAnsi" w:hAnsiTheme="majorHAnsi" w:cstheme="majorHAnsi"/>
              </w:rPr>
            </w:pPr>
            <w:r>
              <w:rPr>
                <w:rFonts w:asciiTheme="majorHAnsi" w:hAnsiTheme="majorHAnsi"/>
              </w:rPr>
              <w:t>0,47</w:t>
            </w:r>
          </w:p>
        </w:tc>
        <w:tc>
          <w:tcPr>
            <w:tcW w:w="623" w:type="pct"/>
          </w:tcPr>
          <w:p w14:paraId="30586F28" w14:textId="721D8AB2" w:rsidR="00751DFF" w:rsidRPr="00A5344E" w:rsidRDefault="00751DFF" w:rsidP="00751DFF">
            <w:pPr>
              <w:pStyle w:val="Tabellentext"/>
              <w:jc w:val="right"/>
              <w:rPr>
                <w:rFonts w:asciiTheme="majorHAnsi" w:hAnsiTheme="majorHAnsi" w:cstheme="majorHAnsi"/>
              </w:rPr>
            </w:pPr>
            <w:r>
              <w:rPr>
                <w:rFonts w:asciiTheme="majorHAnsi" w:hAnsiTheme="majorHAnsi"/>
              </w:rPr>
              <w:t>0,31</w:t>
            </w:r>
          </w:p>
        </w:tc>
      </w:tr>
      <w:tr w:rsidR="003473CA" w:rsidRPr="00A5344E" w14:paraId="0587C7C5" w14:textId="4BAD0D79" w:rsidTr="003473CA">
        <w:trPr>
          <w:cnfStyle w:val="000000100000" w:firstRow="0" w:lastRow="0" w:firstColumn="0" w:lastColumn="0" w:oddVBand="0" w:evenVBand="0" w:oddHBand="1" w:evenHBand="0" w:firstRowFirstColumn="0" w:firstRowLastColumn="0" w:lastRowFirstColumn="0" w:lastRowLastColumn="0"/>
          <w:trHeight w:val="330"/>
        </w:trPr>
        <w:tc>
          <w:tcPr>
            <w:tcW w:w="1640" w:type="pct"/>
            <w:noWrap/>
          </w:tcPr>
          <w:p w14:paraId="5E61207C" w14:textId="2633B2B4" w:rsidR="00751DFF" w:rsidRPr="00A5344E" w:rsidRDefault="00751DFF" w:rsidP="00751DFF">
            <w:pPr>
              <w:pStyle w:val="Tabellentext"/>
              <w:rPr>
                <w:rFonts w:asciiTheme="majorHAnsi" w:hAnsiTheme="majorHAnsi" w:cstheme="majorHAnsi"/>
                <w:b/>
                <w:bCs/>
              </w:rPr>
            </w:pPr>
            <w:r>
              <w:rPr>
                <w:rFonts w:asciiTheme="majorHAnsi" w:hAnsiTheme="majorHAnsi"/>
              </w:rPr>
              <w:t>Nombre de communes</w:t>
            </w:r>
          </w:p>
        </w:tc>
        <w:tc>
          <w:tcPr>
            <w:tcW w:w="470" w:type="pct"/>
            <w:noWrap/>
          </w:tcPr>
          <w:p w14:paraId="4F28219E" w14:textId="33894A4C" w:rsidR="00751DFF" w:rsidRPr="00A5344E" w:rsidRDefault="00751DFF" w:rsidP="00751DFF">
            <w:pPr>
              <w:pStyle w:val="Tabellentext"/>
              <w:jc w:val="right"/>
              <w:rPr>
                <w:rFonts w:asciiTheme="majorHAnsi" w:hAnsiTheme="majorHAnsi" w:cstheme="majorHAnsi"/>
              </w:rPr>
            </w:pPr>
            <w:r>
              <w:rPr>
                <w:rFonts w:asciiTheme="majorHAnsi" w:hAnsiTheme="majorHAnsi"/>
              </w:rPr>
              <w:t>33</w:t>
            </w:r>
          </w:p>
        </w:tc>
        <w:tc>
          <w:tcPr>
            <w:tcW w:w="469" w:type="pct"/>
            <w:noWrap/>
          </w:tcPr>
          <w:p w14:paraId="519E8BCE" w14:textId="498AC969" w:rsidR="00751DFF" w:rsidRPr="00A5344E" w:rsidRDefault="00751DFF" w:rsidP="00751DFF">
            <w:pPr>
              <w:pStyle w:val="Tabellentext"/>
              <w:jc w:val="right"/>
              <w:rPr>
                <w:rFonts w:asciiTheme="majorHAnsi" w:hAnsiTheme="majorHAnsi" w:cstheme="majorHAnsi"/>
              </w:rPr>
            </w:pPr>
            <w:r>
              <w:rPr>
                <w:rFonts w:asciiTheme="majorHAnsi" w:hAnsiTheme="majorHAnsi"/>
              </w:rPr>
              <w:t>44</w:t>
            </w:r>
          </w:p>
        </w:tc>
        <w:tc>
          <w:tcPr>
            <w:tcW w:w="546" w:type="pct"/>
            <w:noWrap/>
          </w:tcPr>
          <w:p w14:paraId="4A663CC5" w14:textId="078C6109" w:rsidR="00751DFF" w:rsidRPr="00A5344E" w:rsidRDefault="00751DFF" w:rsidP="00751DFF">
            <w:pPr>
              <w:pStyle w:val="Tabellentext"/>
              <w:jc w:val="right"/>
              <w:rPr>
                <w:rFonts w:asciiTheme="majorHAnsi" w:hAnsiTheme="majorHAnsi" w:cstheme="majorHAnsi"/>
              </w:rPr>
            </w:pPr>
            <w:r>
              <w:rPr>
                <w:rFonts w:asciiTheme="majorHAnsi" w:hAnsiTheme="majorHAnsi"/>
              </w:rPr>
              <w:t>80</w:t>
            </w:r>
          </w:p>
        </w:tc>
        <w:tc>
          <w:tcPr>
            <w:tcW w:w="627" w:type="pct"/>
            <w:noWrap/>
          </w:tcPr>
          <w:p w14:paraId="4F3630BA" w14:textId="497318B6" w:rsidR="00751DFF" w:rsidRPr="00A5344E" w:rsidRDefault="00751DFF" w:rsidP="00751DFF">
            <w:pPr>
              <w:pStyle w:val="Tabellentext"/>
              <w:jc w:val="right"/>
              <w:rPr>
                <w:rFonts w:asciiTheme="majorHAnsi" w:hAnsiTheme="majorHAnsi" w:cstheme="majorHAnsi"/>
              </w:rPr>
            </w:pPr>
            <w:r>
              <w:rPr>
                <w:rFonts w:asciiTheme="majorHAnsi" w:hAnsiTheme="majorHAnsi"/>
              </w:rPr>
              <w:t>110</w:t>
            </w:r>
          </w:p>
        </w:tc>
        <w:tc>
          <w:tcPr>
            <w:tcW w:w="625" w:type="pct"/>
            <w:noWrap/>
          </w:tcPr>
          <w:p w14:paraId="6CF81D45" w14:textId="4892B754" w:rsidR="00751DFF" w:rsidRPr="00A5344E" w:rsidRDefault="00751DFF" w:rsidP="00751DFF">
            <w:pPr>
              <w:pStyle w:val="Tabellentext"/>
              <w:jc w:val="right"/>
              <w:rPr>
                <w:rFonts w:asciiTheme="majorHAnsi" w:hAnsiTheme="majorHAnsi" w:cstheme="majorHAnsi"/>
              </w:rPr>
            </w:pPr>
            <w:r>
              <w:rPr>
                <w:rFonts w:asciiTheme="majorHAnsi" w:hAnsiTheme="majorHAnsi"/>
              </w:rPr>
              <w:t>70</w:t>
            </w:r>
          </w:p>
        </w:tc>
        <w:tc>
          <w:tcPr>
            <w:tcW w:w="623" w:type="pct"/>
          </w:tcPr>
          <w:p w14:paraId="48EAC0C9" w14:textId="68E6121A" w:rsidR="00751DFF" w:rsidRPr="00A5344E" w:rsidRDefault="00751DFF" w:rsidP="00751DFF">
            <w:pPr>
              <w:pStyle w:val="Tabellentext"/>
              <w:jc w:val="right"/>
              <w:rPr>
                <w:rFonts w:asciiTheme="majorHAnsi" w:hAnsiTheme="majorHAnsi" w:cstheme="majorHAnsi"/>
              </w:rPr>
            </w:pPr>
            <w:r>
              <w:rPr>
                <w:rFonts w:asciiTheme="majorHAnsi" w:hAnsiTheme="majorHAnsi"/>
              </w:rPr>
              <w:t>337</w:t>
            </w:r>
          </w:p>
        </w:tc>
      </w:tr>
      <w:tr w:rsidR="003473CA" w:rsidRPr="00A5344E" w14:paraId="0AC7DC16" w14:textId="70F2B316" w:rsidTr="003473CA">
        <w:trPr>
          <w:cnfStyle w:val="000000010000" w:firstRow="0" w:lastRow="0" w:firstColumn="0" w:lastColumn="0" w:oddVBand="0" w:evenVBand="0" w:oddHBand="0" w:evenHBand="1" w:firstRowFirstColumn="0" w:firstRowLastColumn="0" w:lastRowFirstColumn="0" w:lastRowLastColumn="0"/>
          <w:trHeight w:val="330"/>
        </w:trPr>
        <w:tc>
          <w:tcPr>
            <w:tcW w:w="1640" w:type="pct"/>
            <w:noWrap/>
          </w:tcPr>
          <w:p w14:paraId="45079307" w14:textId="54A628A7" w:rsidR="00751DFF" w:rsidRPr="00A5344E" w:rsidRDefault="00751DFF" w:rsidP="00751DFF">
            <w:pPr>
              <w:pStyle w:val="Tabellentext"/>
              <w:rPr>
                <w:rFonts w:asciiTheme="majorHAnsi" w:hAnsiTheme="majorHAnsi" w:cstheme="majorHAnsi"/>
                <w:b/>
                <w:bCs/>
              </w:rPr>
            </w:pPr>
            <w:r>
              <w:rPr>
                <w:rFonts w:asciiTheme="majorHAnsi" w:hAnsiTheme="majorHAnsi"/>
              </w:rPr>
              <w:t>Nombre d’habitantes et habitants</w:t>
            </w:r>
          </w:p>
        </w:tc>
        <w:tc>
          <w:tcPr>
            <w:tcW w:w="470" w:type="pct"/>
            <w:noWrap/>
          </w:tcPr>
          <w:p w14:paraId="4EA051CD" w14:textId="724094AE" w:rsidR="00751DFF" w:rsidRPr="00A5344E" w:rsidRDefault="00751DFF" w:rsidP="00751DFF">
            <w:pPr>
              <w:pStyle w:val="Tabellentext"/>
              <w:jc w:val="right"/>
              <w:rPr>
                <w:rFonts w:asciiTheme="majorHAnsi" w:hAnsiTheme="majorHAnsi" w:cstheme="majorHAnsi"/>
              </w:rPr>
            </w:pPr>
            <w:r>
              <w:rPr>
                <w:rFonts w:asciiTheme="majorHAnsi" w:hAnsiTheme="majorHAnsi"/>
              </w:rPr>
              <w:t>23 502</w:t>
            </w:r>
          </w:p>
        </w:tc>
        <w:tc>
          <w:tcPr>
            <w:tcW w:w="469" w:type="pct"/>
            <w:noWrap/>
          </w:tcPr>
          <w:p w14:paraId="776F12A4" w14:textId="59C30E59" w:rsidR="00751DFF" w:rsidRPr="00A5344E" w:rsidRDefault="00751DFF" w:rsidP="00751DFF">
            <w:pPr>
              <w:pStyle w:val="Tabellentext"/>
              <w:jc w:val="right"/>
              <w:rPr>
                <w:rFonts w:asciiTheme="majorHAnsi" w:hAnsiTheme="majorHAnsi" w:cstheme="majorHAnsi"/>
              </w:rPr>
            </w:pPr>
            <w:r>
              <w:rPr>
                <w:rFonts w:asciiTheme="majorHAnsi" w:hAnsiTheme="majorHAnsi"/>
              </w:rPr>
              <w:t>54 294</w:t>
            </w:r>
          </w:p>
        </w:tc>
        <w:tc>
          <w:tcPr>
            <w:tcW w:w="546" w:type="pct"/>
            <w:noWrap/>
          </w:tcPr>
          <w:p w14:paraId="7B2B105D" w14:textId="46212477" w:rsidR="00751DFF" w:rsidRPr="00A5344E" w:rsidRDefault="00751DFF" w:rsidP="00751DFF">
            <w:pPr>
              <w:pStyle w:val="Tabellentext"/>
              <w:jc w:val="right"/>
              <w:rPr>
                <w:rFonts w:asciiTheme="majorHAnsi" w:hAnsiTheme="majorHAnsi" w:cstheme="majorHAnsi"/>
              </w:rPr>
            </w:pPr>
            <w:r>
              <w:rPr>
                <w:rFonts w:asciiTheme="majorHAnsi" w:hAnsiTheme="majorHAnsi"/>
              </w:rPr>
              <w:t>159 820</w:t>
            </w:r>
          </w:p>
        </w:tc>
        <w:tc>
          <w:tcPr>
            <w:tcW w:w="627" w:type="pct"/>
            <w:noWrap/>
          </w:tcPr>
          <w:p w14:paraId="3E1FCA7A" w14:textId="28A0DC18" w:rsidR="00751DFF" w:rsidRPr="00A5344E" w:rsidRDefault="00751DFF" w:rsidP="00751DFF">
            <w:pPr>
              <w:pStyle w:val="Tabellentext"/>
              <w:jc w:val="right"/>
              <w:rPr>
                <w:rFonts w:asciiTheme="majorHAnsi" w:hAnsiTheme="majorHAnsi" w:cstheme="majorHAnsi"/>
              </w:rPr>
            </w:pPr>
            <w:r>
              <w:rPr>
                <w:rFonts w:asciiTheme="majorHAnsi" w:hAnsiTheme="majorHAnsi"/>
              </w:rPr>
              <w:t>434 170</w:t>
            </w:r>
          </w:p>
        </w:tc>
        <w:tc>
          <w:tcPr>
            <w:tcW w:w="625" w:type="pct"/>
            <w:noWrap/>
          </w:tcPr>
          <w:p w14:paraId="64A78C8D" w14:textId="29678669" w:rsidR="00751DFF" w:rsidRPr="00A5344E" w:rsidRDefault="00751DFF" w:rsidP="00751DFF">
            <w:pPr>
              <w:pStyle w:val="Tabellentext"/>
              <w:jc w:val="right"/>
              <w:rPr>
                <w:rFonts w:asciiTheme="majorHAnsi" w:hAnsiTheme="majorHAnsi" w:cstheme="majorHAnsi"/>
              </w:rPr>
            </w:pPr>
            <w:r>
              <w:rPr>
                <w:rFonts w:asciiTheme="majorHAnsi" w:hAnsiTheme="majorHAnsi"/>
              </w:rPr>
              <w:t>382 316</w:t>
            </w:r>
          </w:p>
        </w:tc>
        <w:tc>
          <w:tcPr>
            <w:tcW w:w="623" w:type="pct"/>
          </w:tcPr>
          <w:p w14:paraId="29CD4B8E" w14:textId="73FFD82D" w:rsidR="00751DFF" w:rsidRPr="00A5344E" w:rsidRDefault="00751DFF" w:rsidP="00751DFF">
            <w:pPr>
              <w:pStyle w:val="Tabellentext"/>
              <w:jc w:val="right"/>
              <w:rPr>
                <w:rFonts w:asciiTheme="majorHAnsi" w:hAnsiTheme="majorHAnsi" w:cstheme="majorHAnsi"/>
              </w:rPr>
            </w:pPr>
            <w:r>
              <w:rPr>
                <w:rFonts w:asciiTheme="majorHAnsi" w:hAnsiTheme="majorHAnsi"/>
              </w:rPr>
              <w:t>1 054 102</w:t>
            </w:r>
          </w:p>
        </w:tc>
      </w:tr>
      <w:tr w:rsidR="003473CA" w:rsidRPr="00A5344E" w14:paraId="281F1383" w14:textId="43D8441A" w:rsidTr="003473CA">
        <w:trPr>
          <w:cnfStyle w:val="000000100000" w:firstRow="0" w:lastRow="0" w:firstColumn="0" w:lastColumn="0" w:oddVBand="0" w:evenVBand="0" w:oddHBand="1" w:evenHBand="0" w:firstRowFirstColumn="0" w:firstRowLastColumn="0" w:lastRowFirstColumn="0" w:lastRowLastColumn="0"/>
          <w:trHeight w:val="330"/>
        </w:trPr>
        <w:tc>
          <w:tcPr>
            <w:tcW w:w="1640" w:type="pct"/>
            <w:noWrap/>
          </w:tcPr>
          <w:p w14:paraId="3052E9D2" w14:textId="22D6E864" w:rsidR="00751DFF" w:rsidRPr="00A5344E" w:rsidRDefault="00751DFF" w:rsidP="00751DFF">
            <w:pPr>
              <w:pStyle w:val="Tabellentext"/>
              <w:rPr>
                <w:rFonts w:asciiTheme="majorHAnsi" w:hAnsiTheme="majorHAnsi" w:cstheme="majorHAnsi"/>
                <w:b/>
                <w:bCs/>
              </w:rPr>
            </w:pPr>
            <w:r>
              <w:rPr>
                <w:rFonts w:asciiTheme="majorHAnsi" w:hAnsiTheme="majorHAnsi"/>
              </w:rPr>
              <w:t>Charge supplémentaire par personne en CHF</w:t>
            </w:r>
          </w:p>
        </w:tc>
        <w:tc>
          <w:tcPr>
            <w:tcW w:w="470" w:type="pct"/>
            <w:noWrap/>
          </w:tcPr>
          <w:p w14:paraId="77E0EF1C" w14:textId="44D3231E" w:rsidR="00751DFF" w:rsidRPr="00A5344E" w:rsidRDefault="00751DFF" w:rsidP="00751DFF">
            <w:pPr>
              <w:pStyle w:val="Tabellentext"/>
              <w:jc w:val="right"/>
              <w:rPr>
                <w:rFonts w:asciiTheme="majorHAnsi" w:hAnsiTheme="majorHAnsi" w:cstheme="majorHAnsi"/>
              </w:rPr>
            </w:pPr>
            <w:r>
              <w:rPr>
                <w:rFonts w:asciiTheme="majorHAnsi" w:hAnsiTheme="majorHAnsi"/>
              </w:rPr>
              <w:t>-7</w:t>
            </w:r>
          </w:p>
        </w:tc>
        <w:tc>
          <w:tcPr>
            <w:tcW w:w="469" w:type="pct"/>
            <w:noWrap/>
          </w:tcPr>
          <w:p w14:paraId="0B41EC80" w14:textId="5C8BEF74" w:rsidR="00751DFF" w:rsidRPr="00A5344E" w:rsidRDefault="00751DFF" w:rsidP="00751DFF">
            <w:pPr>
              <w:pStyle w:val="Tabellentext"/>
              <w:jc w:val="right"/>
              <w:rPr>
                <w:rFonts w:asciiTheme="majorHAnsi" w:hAnsiTheme="majorHAnsi" w:cstheme="majorHAnsi"/>
              </w:rPr>
            </w:pPr>
            <w:r>
              <w:rPr>
                <w:rFonts w:asciiTheme="majorHAnsi" w:hAnsiTheme="majorHAnsi"/>
              </w:rPr>
              <w:t>4</w:t>
            </w:r>
          </w:p>
        </w:tc>
        <w:tc>
          <w:tcPr>
            <w:tcW w:w="546" w:type="pct"/>
            <w:noWrap/>
          </w:tcPr>
          <w:p w14:paraId="7B1AB08E" w14:textId="260AE4CF" w:rsidR="00751DFF" w:rsidRPr="00A5344E" w:rsidRDefault="00751DFF" w:rsidP="00751DFF">
            <w:pPr>
              <w:pStyle w:val="Tabellentext"/>
              <w:jc w:val="right"/>
              <w:rPr>
                <w:rFonts w:asciiTheme="majorHAnsi" w:hAnsiTheme="majorHAnsi" w:cstheme="majorHAnsi"/>
              </w:rPr>
            </w:pPr>
            <w:r>
              <w:rPr>
                <w:rFonts w:asciiTheme="majorHAnsi" w:hAnsiTheme="majorHAnsi"/>
              </w:rPr>
              <w:t>21</w:t>
            </w:r>
          </w:p>
        </w:tc>
        <w:tc>
          <w:tcPr>
            <w:tcW w:w="627" w:type="pct"/>
            <w:noWrap/>
          </w:tcPr>
          <w:p w14:paraId="49F4316B" w14:textId="6CF78DA2" w:rsidR="00751DFF" w:rsidRPr="00A5344E" w:rsidRDefault="00751DFF" w:rsidP="00751DFF">
            <w:pPr>
              <w:pStyle w:val="Tabellentext"/>
              <w:jc w:val="right"/>
              <w:rPr>
                <w:rFonts w:asciiTheme="majorHAnsi" w:hAnsiTheme="majorHAnsi" w:cstheme="majorHAnsi"/>
              </w:rPr>
            </w:pPr>
            <w:r>
              <w:rPr>
                <w:rFonts w:asciiTheme="majorHAnsi" w:hAnsiTheme="majorHAnsi"/>
              </w:rPr>
              <w:t>28</w:t>
            </w:r>
          </w:p>
        </w:tc>
        <w:tc>
          <w:tcPr>
            <w:tcW w:w="625" w:type="pct"/>
            <w:noWrap/>
          </w:tcPr>
          <w:p w14:paraId="3818BD33" w14:textId="385551C7" w:rsidR="00751DFF" w:rsidRPr="00A5344E" w:rsidRDefault="00751DFF" w:rsidP="00751DFF">
            <w:pPr>
              <w:pStyle w:val="Tabellentext"/>
              <w:jc w:val="right"/>
              <w:rPr>
                <w:rFonts w:asciiTheme="majorHAnsi" w:hAnsiTheme="majorHAnsi" w:cstheme="majorHAnsi"/>
              </w:rPr>
            </w:pPr>
            <w:r>
              <w:rPr>
                <w:rFonts w:asciiTheme="majorHAnsi" w:hAnsiTheme="majorHAnsi"/>
              </w:rPr>
              <w:t>99</w:t>
            </w:r>
          </w:p>
        </w:tc>
        <w:tc>
          <w:tcPr>
            <w:tcW w:w="623" w:type="pct"/>
          </w:tcPr>
          <w:p w14:paraId="5AB97827" w14:textId="2CBEE25F" w:rsidR="00751DFF" w:rsidRPr="00A5344E" w:rsidRDefault="00751DFF" w:rsidP="00751DFF">
            <w:pPr>
              <w:pStyle w:val="Tabellentext"/>
              <w:jc w:val="right"/>
              <w:rPr>
                <w:rFonts w:asciiTheme="majorHAnsi" w:hAnsiTheme="majorHAnsi" w:cstheme="majorHAnsi"/>
              </w:rPr>
            </w:pPr>
            <w:r>
              <w:rPr>
                <w:rFonts w:asciiTheme="majorHAnsi" w:hAnsiTheme="majorHAnsi"/>
              </w:rPr>
              <w:t>50</w:t>
            </w:r>
          </w:p>
        </w:tc>
      </w:tr>
    </w:tbl>
    <w:p w14:paraId="5F951022" w14:textId="77777777" w:rsidR="00751DFF" w:rsidRPr="009C7C74" w:rsidRDefault="00751DFF" w:rsidP="004E4BBE">
      <w:pPr>
        <w:rPr>
          <w:rFonts w:asciiTheme="majorHAnsi" w:hAnsiTheme="majorHAnsi" w:cstheme="majorHAnsi"/>
        </w:rPr>
      </w:pPr>
    </w:p>
    <w:p w14:paraId="3EAC0D6A" w14:textId="576EF000" w:rsidR="004E4BBE" w:rsidRPr="00A5344E" w:rsidRDefault="004E4BBE" w:rsidP="004E4BBE">
      <w:pPr>
        <w:pStyle w:val="berschrift2nummeriert"/>
        <w:rPr>
          <w:rFonts w:cstheme="majorHAnsi"/>
        </w:rPr>
      </w:pPr>
      <w:bookmarkStart w:id="38" w:name="_Toc196227256"/>
      <w:r>
        <w:t>Analyse selon les quotités d’impôt des communes - période 2020 à 2023</w:t>
      </w:r>
      <w:bookmarkEnd w:id="38"/>
    </w:p>
    <w:p w14:paraId="77961015" w14:textId="3730E3FD" w:rsidR="004E4BBE" w:rsidRPr="00A5344E" w:rsidRDefault="004E4BBE" w:rsidP="004E4BBE">
      <w:pPr>
        <w:rPr>
          <w:rFonts w:asciiTheme="majorHAnsi" w:hAnsiTheme="majorHAnsi" w:cstheme="majorHAnsi"/>
          <w:szCs w:val="21"/>
        </w:rPr>
      </w:pPr>
      <w:r>
        <w:rPr>
          <w:rFonts w:asciiTheme="majorHAnsi" w:hAnsiTheme="majorHAnsi"/>
        </w:rPr>
        <w:t>Voici ce qui se dégage de l’analyse selon la quotité d’impôt des communes (cf.</w:t>
      </w:r>
      <w:r>
        <w:t> </w:t>
      </w:r>
      <w:r w:rsidR="006521C1" w:rsidRPr="0063677D">
        <w:rPr>
          <w:rFonts w:asciiTheme="majorHAnsi" w:hAnsiTheme="majorHAnsi" w:cstheme="majorHAnsi"/>
        </w:rPr>
        <w:fldChar w:fldCharType="begin"/>
      </w:r>
      <w:r w:rsidR="006521C1" w:rsidRPr="0063677D">
        <w:rPr>
          <w:rFonts w:asciiTheme="majorHAnsi" w:hAnsiTheme="majorHAnsi" w:cstheme="majorHAnsi"/>
        </w:rPr>
        <w:instrText xml:space="preserve"> REF _Ref187916716 \h  \* </w:instrText>
      </w:r>
      <w:r w:rsidR="0063677D" w:rsidRPr="0063677D">
        <w:rPr>
          <w:rFonts w:asciiTheme="majorHAnsi" w:hAnsiTheme="majorHAnsi" w:cstheme="majorHAnsi"/>
        </w:rPr>
        <w:instrText xml:space="preserve">Lower </w:instrText>
      </w:r>
      <w:r w:rsidR="003A046E" w:rsidRPr="003A046E">
        <w:rPr>
          <w:rFonts w:asciiTheme="majorHAnsi" w:hAnsiTheme="majorHAnsi" w:cstheme="majorHAnsi"/>
        </w:rPr>
        <w:instrText>\* charformat</w:instrText>
      </w:r>
      <w:r w:rsidR="0063677D" w:rsidRPr="0063677D">
        <w:rPr>
          <w:rFonts w:asciiTheme="majorHAnsi" w:hAnsiTheme="majorHAnsi" w:cstheme="majorHAnsi"/>
        </w:rPr>
        <w:instrText xml:space="preserve"> </w:instrText>
      </w:r>
      <w:r w:rsidR="006521C1" w:rsidRPr="0063677D">
        <w:rPr>
          <w:rFonts w:asciiTheme="majorHAnsi" w:hAnsiTheme="majorHAnsi" w:cstheme="majorHAnsi"/>
        </w:rPr>
      </w:r>
      <w:r w:rsidR="006521C1" w:rsidRPr="0063677D">
        <w:rPr>
          <w:rFonts w:asciiTheme="majorHAnsi" w:hAnsiTheme="majorHAnsi" w:cstheme="majorHAnsi"/>
        </w:rPr>
        <w:fldChar w:fldCharType="separate"/>
      </w:r>
      <w:r w:rsidR="003A046E" w:rsidRPr="003A046E">
        <w:rPr>
          <w:rFonts w:asciiTheme="majorHAnsi" w:hAnsiTheme="majorHAnsi" w:cstheme="majorHAnsi"/>
        </w:rPr>
        <w:t>illustration 8</w:t>
      </w:r>
      <w:r w:rsidR="006521C1" w:rsidRPr="0063677D">
        <w:rPr>
          <w:rFonts w:asciiTheme="majorHAnsi" w:hAnsiTheme="majorHAnsi" w:cstheme="majorHAnsi"/>
        </w:rPr>
        <w:fldChar w:fldCharType="end"/>
      </w:r>
      <w:r>
        <w:rPr>
          <w:rFonts w:asciiTheme="majorHAnsi" w:hAnsiTheme="majorHAnsi"/>
        </w:rPr>
        <w:t>) : c’est dans les communes dont la quotité d’impôt est inférieure à 1,40 que la charge supplémentaire est la plus importante, à savoir 0,77 dixième de quotité d’impôt, essentiellement en raison de la charge relativement élevée qu’elles supportent dans le cadre de la péréquation financière directe. Inversement, grâce à la péréquation financière directe, c’est dans les communes dont la quotité d’impôt est comprise entre 1,80 et 1,99 que la charge supplémentaire est la plus faible.</w:t>
      </w:r>
    </w:p>
    <w:p w14:paraId="24C539B2" w14:textId="77777777" w:rsidR="00751DFF" w:rsidRPr="00A5344E" w:rsidRDefault="00751DFF" w:rsidP="004E4BBE">
      <w:pPr>
        <w:rPr>
          <w:rFonts w:asciiTheme="majorHAnsi" w:hAnsiTheme="majorHAnsi" w:cstheme="majorHAnsi"/>
        </w:rPr>
      </w:pPr>
    </w:p>
    <w:p w14:paraId="2AD70D16" w14:textId="30B67370" w:rsidR="00876211" w:rsidRPr="00A5344E" w:rsidRDefault="00876211" w:rsidP="00876211">
      <w:pPr>
        <w:pStyle w:val="Beschriftung"/>
        <w:keepNext/>
        <w:rPr>
          <w:rFonts w:asciiTheme="majorHAnsi" w:hAnsiTheme="majorHAnsi" w:cstheme="majorHAnsi"/>
          <w:b/>
          <w:bCs w:val="0"/>
        </w:rPr>
      </w:pPr>
      <w:bookmarkStart w:id="39" w:name="_Ref187916716"/>
      <w:r>
        <w:rPr>
          <w:rFonts w:asciiTheme="majorHAnsi" w:hAnsiTheme="majorHAnsi"/>
          <w:b/>
        </w:rPr>
        <w:t>Illustration</w:t>
      </w:r>
      <w:r w:rsidR="0063677D">
        <w:rPr>
          <w:rFonts w:asciiTheme="majorHAnsi" w:hAnsiTheme="majorHAnsi"/>
          <w:b/>
        </w:rPr>
        <w:t xml:space="preserve"> </w:t>
      </w:r>
      <w:r w:rsidRPr="00A5344E">
        <w:rPr>
          <w:rFonts w:asciiTheme="majorHAnsi" w:hAnsiTheme="majorHAnsi" w:cstheme="majorHAnsi"/>
          <w:b/>
        </w:rPr>
        <w:fldChar w:fldCharType="begin"/>
      </w:r>
      <w:r w:rsidRPr="00A5344E">
        <w:rPr>
          <w:rFonts w:asciiTheme="majorHAnsi" w:hAnsiTheme="majorHAnsi" w:cstheme="majorHAnsi"/>
          <w:b/>
        </w:rPr>
        <w:instrText xml:space="preserve"> SEQ Abbildung \* ARABIC </w:instrText>
      </w:r>
      <w:r w:rsidRPr="00A5344E">
        <w:rPr>
          <w:rFonts w:asciiTheme="majorHAnsi" w:hAnsiTheme="majorHAnsi" w:cstheme="majorHAnsi"/>
          <w:b/>
        </w:rPr>
        <w:fldChar w:fldCharType="separate"/>
      </w:r>
      <w:r w:rsidR="00A513C6" w:rsidRPr="00A5344E">
        <w:rPr>
          <w:rFonts w:asciiTheme="majorHAnsi" w:hAnsiTheme="majorHAnsi" w:cstheme="majorHAnsi"/>
          <w:b/>
        </w:rPr>
        <w:t>8</w:t>
      </w:r>
      <w:r w:rsidRPr="00A5344E">
        <w:rPr>
          <w:rFonts w:asciiTheme="majorHAnsi" w:hAnsiTheme="majorHAnsi" w:cstheme="majorHAnsi"/>
          <w:b/>
        </w:rPr>
        <w:fldChar w:fldCharType="end"/>
      </w:r>
      <w:bookmarkEnd w:id="39"/>
      <w:r>
        <w:rPr>
          <w:rFonts w:asciiTheme="majorHAnsi" w:hAnsiTheme="majorHAnsi"/>
          <w:b/>
        </w:rPr>
        <w:t> :</w:t>
      </w:r>
      <w:r>
        <w:rPr>
          <w:rFonts w:asciiTheme="majorHAnsi" w:hAnsiTheme="majorHAnsi"/>
          <w:b/>
        </w:rPr>
        <w:tab/>
        <w:t>Évolution de la charge des communes entre 2019 et 2023 ;</w:t>
      </w:r>
      <w:r>
        <w:rPr>
          <w:rFonts w:asciiTheme="majorHAnsi" w:hAnsiTheme="majorHAnsi"/>
          <w:b/>
        </w:rPr>
        <w:br/>
      </w:r>
      <w:r>
        <w:rPr>
          <w:rFonts w:asciiTheme="majorHAnsi" w:hAnsiTheme="majorHAnsi"/>
          <w:b/>
        </w:rPr>
        <w:tab/>
      </w:r>
      <w:r>
        <w:rPr>
          <w:rFonts w:asciiTheme="majorHAnsi" w:hAnsiTheme="majorHAnsi"/>
          <w:b/>
        </w:rPr>
        <w:tab/>
        <w:t>communes classées par leur quotité d’impôt en 2023</w:t>
      </w:r>
    </w:p>
    <w:tbl>
      <w:tblPr>
        <w:tblStyle w:val="Ecoplankombi"/>
        <w:tblW w:w="4759" w:type="pct"/>
        <w:tblLayout w:type="fixed"/>
        <w:tblLook w:val="04A0" w:firstRow="1" w:lastRow="0" w:firstColumn="1" w:lastColumn="0" w:noHBand="0" w:noVBand="1"/>
      </w:tblPr>
      <w:tblGrid>
        <w:gridCol w:w="3074"/>
        <w:gridCol w:w="1116"/>
        <w:gridCol w:w="1096"/>
        <w:gridCol w:w="1096"/>
        <w:gridCol w:w="1021"/>
        <w:gridCol w:w="837"/>
        <w:gridCol w:w="1124"/>
      </w:tblGrid>
      <w:tr w:rsidR="003473CA" w:rsidRPr="00A5344E" w14:paraId="5C028736" w14:textId="77777777" w:rsidTr="003473CA">
        <w:trPr>
          <w:cnfStyle w:val="100000000000" w:firstRow="1" w:lastRow="0" w:firstColumn="0" w:lastColumn="0" w:oddVBand="0" w:evenVBand="0" w:oddHBand="0" w:evenHBand="0" w:firstRowFirstColumn="0" w:firstRowLastColumn="0" w:lastRowFirstColumn="0" w:lastRowLastColumn="0"/>
          <w:trHeight w:val="330"/>
        </w:trPr>
        <w:tc>
          <w:tcPr>
            <w:tcW w:w="1642" w:type="pct"/>
            <w:noWrap/>
          </w:tcPr>
          <w:p w14:paraId="5642276D" w14:textId="619FE016" w:rsidR="00751DFF" w:rsidRPr="00A5344E" w:rsidRDefault="00751DFF" w:rsidP="00751DFF">
            <w:pPr>
              <w:pStyle w:val="Tabellentext"/>
              <w:rPr>
                <w:rFonts w:asciiTheme="majorHAnsi" w:hAnsiTheme="majorHAnsi" w:cstheme="majorHAnsi"/>
                <w:b/>
                <w:bCs/>
              </w:rPr>
            </w:pPr>
            <w:r>
              <w:rPr>
                <w:rFonts w:asciiTheme="majorHAnsi" w:hAnsiTheme="majorHAnsi"/>
                <w:b/>
              </w:rPr>
              <w:t>Rubrique / catégorie de quotité</w:t>
            </w:r>
          </w:p>
        </w:tc>
        <w:tc>
          <w:tcPr>
            <w:tcW w:w="596" w:type="pct"/>
            <w:noWrap/>
          </w:tcPr>
          <w:p w14:paraId="42EF52A5" w14:textId="5DB48A89" w:rsidR="00751DFF" w:rsidRPr="00A5344E" w:rsidRDefault="00751DFF" w:rsidP="00751DFF">
            <w:pPr>
              <w:pStyle w:val="Tabellentext"/>
              <w:jc w:val="right"/>
              <w:rPr>
                <w:rFonts w:asciiTheme="majorHAnsi" w:hAnsiTheme="majorHAnsi" w:cstheme="majorHAnsi"/>
                <w:b/>
                <w:bCs/>
              </w:rPr>
            </w:pPr>
            <w:r>
              <w:rPr>
                <w:rFonts w:asciiTheme="majorHAnsi" w:hAnsiTheme="majorHAnsi"/>
                <w:b/>
              </w:rPr>
              <w:t>&lt; 1,40</w:t>
            </w:r>
          </w:p>
        </w:tc>
        <w:tc>
          <w:tcPr>
            <w:tcW w:w="585" w:type="pct"/>
            <w:noWrap/>
          </w:tcPr>
          <w:p w14:paraId="724259CE" w14:textId="0E0D3CB7" w:rsidR="00751DFF" w:rsidRPr="00A5344E" w:rsidRDefault="00751DFF" w:rsidP="00751DFF">
            <w:pPr>
              <w:pStyle w:val="Tabellentext"/>
              <w:jc w:val="right"/>
              <w:rPr>
                <w:rFonts w:asciiTheme="majorHAnsi" w:hAnsiTheme="majorHAnsi" w:cstheme="majorHAnsi"/>
                <w:b/>
                <w:bCs/>
              </w:rPr>
            </w:pPr>
            <w:r>
              <w:rPr>
                <w:rFonts w:asciiTheme="majorHAnsi" w:hAnsiTheme="majorHAnsi"/>
                <w:b/>
              </w:rPr>
              <w:t>&gt; 1,40 à 1,59</w:t>
            </w:r>
          </w:p>
        </w:tc>
        <w:tc>
          <w:tcPr>
            <w:tcW w:w="585" w:type="pct"/>
            <w:noWrap/>
          </w:tcPr>
          <w:p w14:paraId="767C3A2E" w14:textId="1CE3DDB9" w:rsidR="00751DFF" w:rsidRPr="00A5344E" w:rsidRDefault="00751DFF" w:rsidP="00751DFF">
            <w:pPr>
              <w:pStyle w:val="Tabellentext"/>
              <w:jc w:val="right"/>
              <w:rPr>
                <w:rFonts w:asciiTheme="majorHAnsi" w:hAnsiTheme="majorHAnsi" w:cstheme="majorHAnsi"/>
                <w:b/>
                <w:bCs/>
              </w:rPr>
            </w:pPr>
            <w:r>
              <w:rPr>
                <w:rFonts w:asciiTheme="majorHAnsi" w:hAnsiTheme="majorHAnsi"/>
                <w:b/>
              </w:rPr>
              <w:t>&gt; 1,60 à 1,79</w:t>
            </w:r>
          </w:p>
        </w:tc>
        <w:tc>
          <w:tcPr>
            <w:tcW w:w="545" w:type="pct"/>
            <w:noWrap/>
          </w:tcPr>
          <w:p w14:paraId="16D0EAC7" w14:textId="476DEF89" w:rsidR="00751DFF" w:rsidRPr="00A5344E" w:rsidRDefault="00751DFF" w:rsidP="00751DFF">
            <w:pPr>
              <w:pStyle w:val="Tabellentext"/>
              <w:jc w:val="right"/>
              <w:rPr>
                <w:rFonts w:asciiTheme="majorHAnsi" w:hAnsiTheme="majorHAnsi" w:cstheme="majorHAnsi"/>
                <w:b/>
                <w:bCs/>
              </w:rPr>
            </w:pPr>
            <w:r>
              <w:rPr>
                <w:rFonts w:asciiTheme="majorHAnsi" w:hAnsiTheme="majorHAnsi"/>
                <w:b/>
              </w:rPr>
              <w:t>1,80 à 1,99</w:t>
            </w:r>
          </w:p>
        </w:tc>
        <w:tc>
          <w:tcPr>
            <w:tcW w:w="447" w:type="pct"/>
            <w:noWrap/>
          </w:tcPr>
          <w:p w14:paraId="67CB95B4" w14:textId="7B3D0D07" w:rsidR="00751DFF" w:rsidRPr="00A5344E" w:rsidRDefault="00751DFF" w:rsidP="00751DFF">
            <w:pPr>
              <w:pStyle w:val="Tabellentext"/>
              <w:jc w:val="right"/>
              <w:rPr>
                <w:rFonts w:asciiTheme="majorHAnsi" w:hAnsiTheme="majorHAnsi" w:cstheme="majorHAnsi"/>
                <w:b/>
                <w:bCs/>
              </w:rPr>
            </w:pPr>
            <w:r>
              <w:rPr>
                <w:rFonts w:asciiTheme="majorHAnsi" w:hAnsiTheme="majorHAnsi"/>
                <w:b/>
              </w:rPr>
              <w:t>&gt; 2</w:t>
            </w:r>
          </w:p>
        </w:tc>
        <w:tc>
          <w:tcPr>
            <w:tcW w:w="600" w:type="pct"/>
          </w:tcPr>
          <w:p w14:paraId="083B0A30" w14:textId="0F09B153" w:rsidR="00751DFF" w:rsidRPr="00A5344E" w:rsidRDefault="00751DFF" w:rsidP="00751DFF">
            <w:pPr>
              <w:pStyle w:val="Tabellentext"/>
              <w:jc w:val="right"/>
              <w:rPr>
                <w:rFonts w:asciiTheme="majorHAnsi" w:hAnsiTheme="majorHAnsi" w:cstheme="majorHAnsi"/>
                <w:b/>
                <w:bCs/>
              </w:rPr>
            </w:pPr>
            <w:r>
              <w:rPr>
                <w:rFonts w:asciiTheme="majorHAnsi" w:hAnsiTheme="majorHAnsi"/>
                <w:b/>
              </w:rPr>
              <w:t>Total</w:t>
            </w:r>
          </w:p>
        </w:tc>
      </w:tr>
      <w:tr w:rsidR="003473CA" w:rsidRPr="00A5344E" w14:paraId="0C44A4C8" w14:textId="77777777" w:rsidTr="003473CA">
        <w:trPr>
          <w:cnfStyle w:val="000000100000" w:firstRow="0" w:lastRow="0" w:firstColumn="0" w:lastColumn="0" w:oddVBand="0" w:evenVBand="0" w:oddHBand="1" w:evenHBand="0" w:firstRowFirstColumn="0" w:firstRowLastColumn="0" w:lastRowFirstColumn="0" w:lastRowLastColumn="0"/>
          <w:trHeight w:val="330"/>
        </w:trPr>
        <w:tc>
          <w:tcPr>
            <w:tcW w:w="1642" w:type="pct"/>
            <w:noWrap/>
          </w:tcPr>
          <w:p w14:paraId="680A1029" w14:textId="34F25474" w:rsidR="00751DFF" w:rsidRPr="00A5344E" w:rsidRDefault="00751DFF" w:rsidP="00751DFF">
            <w:pPr>
              <w:pStyle w:val="Tabellentext"/>
              <w:rPr>
                <w:rFonts w:asciiTheme="majorHAnsi" w:hAnsiTheme="majorHAnsi" w:cstheme="majorHAnsi"/>
                <w:b/>
                <w:bCs/>
              </w:rPr>
            </w:pPr>
            <w:r>
              <w:rPr>
                <w:rFonts w:asciiTheme="majorHAnsi" w:hAnsiTheme="majorHAnsi"/>
              </w:rPr>
              <w:t>Charge supplémentaire totale</w:t>
            </w:r>
          </w:p>
        </w:tc>
        <w:tc>
          <w:tcPr>
            <w:tcW w:w="596" w:type="pct"/>
            <w:noWrap/>
          </w:tcPr>
          <w:p w14:paraId="651AE429" w14:textId="1A2CAC84" w:rsidR="00751DFF" w:rsidRPr="00A5344E" w:rsidRDefault="00751DFF" w:rsidP="00751DFF">
            <w:pPr>
              <w:pStyle w:val="Tabellentext"/>
              <w:jc w:val="right"/>
              <w:rPr>
                <w:rFonts w:asciiTheme="majorHAnsi" w:hAnsiTheme="majorHAnsi" w:cstheme="majorHAnsi"/>
              </w:rPr>
            </w:pPr>
            <w:r>
              <w:rPr>
                <w:rFonts w:asciiTheme="majorHAnsi" w:hAnsiTheme="majorHAnsi"/>
              </w:rPr>
              <w:t>12 052 046</w:t>
            </w:r>
          </w:p>
        </w:tc>
        <w:tc>
          <w:tcPr>
            <w:tcW w:w="585" w:type="pct"/>
            <w:noWrap/>
          </w:tcPr>
          <w:p w14:paraId="53AFEEFB" w14:textId="36E0E550" w:rsidR="00751DFF" w:rsidRPr="00A5344E" w:rsidRDefault="00751DFF" w:rsidP="00751DFF">
            <w:pPr>
              <w:pStyle w:val="Tabellentext"/>
              <w:jc w:val="right"/>
              <w:rPr>
                <w:rFonts w:asciiTheme="majorHAnsi" w:hAnsiTheme="majorHAnsi" w:cstheme="majorHAnsi"/>
              </w:rPr>
            </w:pPr>
            <w:r>
              <w:rPr>
                <w:rFonts w:asciiTheme="majorHAnsi" w:hAnsiTheme="majorHAnsi"/>
              </w:rPr>
              <w:t>22 877 870</w:t>
            </w:r>
          </w:p>
        </w:tc>
        <w:tc>
          <w:tcPr>
            <w:tcW w:w="585" w:type="pct"/>
            <w:noWrap/>
          </w:tcPr>
          <w:p w14:paraId="1F6FF737" w14:textId="638EEBBB" w:rsidR="00751DFF" w:rsidRPr="00A5344E" w:rsidRDefault="00751DFF" w:rsidP="00751DFF">
            <w:pPr>
              <w:pStyle w:val="Tabellentext"/>
              <w:jc w:val="right"/>
              <w:rPr>
                <w:rFonts w:asciiTheme="majorHAnsi" w:hAnsiTheme="majorHAnsi" w:cstheme="majorHAnsi"/>
              </w:rPr>
            </w:pPr>
            <w:r>
              <w:rPr>
                <w:rFonts w:asciiTheme="majorHAnsi" w:hAnsiTheme="majorHAnsi"/>
              </w:rPr>
              <w:t>14 641 074</w:t>
            </w:r>
          </w:p>
        </w:tc>
        <w:tc>
          <w:tcPr>
            <w:tcW w:w="545" w:type="pct"/>
            <w:noWrap/>
          </w:tcPr>
          <w:p w14:paraId="256BBF44" w14:textId="41EF53B4" w:rsidR="00751DFF" w:rsidRPr="00A5344E" w:rsidRDefault="00751DFF" w:rsidP="00751DFF">
            <w:pPr>
              <w:pStyle w:val="Tabellentext"/>
              <w:jc w:val="right"/>
              <w:rPr>
                <w:rFonts w:asciiTheme="majorHAnsi" w:hAnsiTheme="majorHAnsi" w:cstheme="majorHAnsi"/>
              </w:rPr>
            </w:pPr>
            <w:r>
              <w:rPr>
                <w:rFonts w:asciiTheme="majorHAnsi" w:hAnsiTheme="majorHAnsi"/>
              </w:rPr>
              <w:t>3 052 463</w:t>
            </w:r>
          </w:p>
        </w:tc>
        <w:tc>
          <w:tcPr>
            <w:tcW w:w="447" w:type="pct"/>
            <w:noWrap/>
          </w:tcPr>
          <w:p w14:paraId="319555B7" w14:textId="68011107" w:rsidR="00751DFF" w:rsidRPr="00A5344E" w:rsidRDefault="00751DFF" w:rsidP="00751DFF">
            <w:pPr>
              <w:pStyle w:val="Tabellentext"/>
              <w:jc w:val="right"/>
              <w:rPr>
                <w:rFonts w:asciiTheme="majorHAnsi" w:hAnsiTheme="majorHAnsi" w:cstheme="majorHAnsi"/>
              </w:rPr>
            </w:pPr>
            <w:r>
              <w:rPr>
                <w:rFonts w:asciiTheme="majorHAnsi" w:hAnsiTheme="majorHAnsi"/>
              </w:rPr>
              <w:t>405 049</w:t>
            </w:r>
          </w:p>
        </w:tc>
        <w:tc>
          <w:tcPr>
            <w:tcW w:w="600" w:type="pct"/>
          </w:tcPr>
          <w:p w14:paraId="4906284B" w14:textId="467B47E5" w:rsidR="00751DFF" w:rsidRPr="00A5344E" w:rsidRDefault="00751DFF" w:rsidP="00751DFF">
            <w:pPr>
              <w:pStyle w:val="Tabellentext"/>
              <w:jc w:val="right"/>
              <w:rPr>
                <w:rFonts w:asciiTheme="majorHAnsi" w:hAnsiTheme="majorHAnsi" w:cstheme="majorHAnsi"/>
              </w:rPr>
            </w:pPr>
            <w:r>
              <w:rPr>
                <w:rFonts w:asciiTheme="majorHAnsi" w:hAnsiTheme="majorHAnsi"/>
              </w:rPr>
              <w:t>53 028 502</w:t>
            </w:r>
          </w:p>
        </w:tc>
      </w:tr>
      <w:tr w:rsidR="003473CA" w:rsidRPr="00A5344E" w14:paraId="3FA799E5" w14:textId="77777777" w:rsidTr="003473CA">
        <w:trPr>
          <w:cnfStyle w:val="000000010000" w:firstRow="0" w:lastRow="0" w:firstColumn="0" w:lastColumn="0" w:oddVBand="0" w:evenVBand="0" w:oddHBand="0" w:evenHBand="1" w:firstRowFirstColumn="0" w:firstRowLastColumn="0" w:lastRowFirstColumn="0" w:lastRowLastColumn="0"/>
          <w:trHeight w:val="330"/>
        </w:trPr>
        <w:tc>
          <w:tcPr>
            <w:tcW w:w="1642" w:type="pct"/>
            <w:noWrap/>
          </w:tcPr>
          <w:p w14:paraId="407256D6" w14:textId="23E83073" w:rsidR="00751DFF" w:rsidRPr="00A5344E" w:rsidRDefault="00751DFF" w:rsidP="00751DFF">
            <w:pPr>
              <w:pStyle w:val="Tabellentext"/>
              <w:rPr>
                <w:rFonts w:asciiTheme="majorHAnsi" w:hAnsiTheme="majorHAnsi" w:cstheme="majorHAnsi"/>
                <w:b/>
                <w:bCs/>
              </w:rPr>
            </w:pPr>
            <w:r>
              <w:rPr>
                <w:rFonts w:asciiTheme="majorHAnsi" w:hAnsiTheme="majorHAnsi"/>
              </w:rPr>
              <w:t>Charge supplémentaire en dixième de quotité d’impôt</w:t>
            </w:r>
          </w:p>
        </w:tc>
        <w:tc>
          <w:tcPr>
            <w:tcW w:w="596" w:type="pct"/>
            <w:noWrap/>
          </w:tcPr>
          <w:p w14:paraId="7D7A22D6" w14:textId="008888C7" w:rsidR="00751DFF" w:rsidRPr="00A5344E" w:rsidRDefault="00751DFF" w:rsidP="00751DFF">
            <w:pPr>
              <w:pStyle w:val="Tabellentext"/>
              <w:jc w:val="right"/>
              <w:rPr>
                <w:rFonts w:asciiTheme="majorHAnsi" w:hAnsiTheme="majorHAnsi" w:cstheme="majorHAnsi"/>
              </w:rPr>
            </w:pPr>
            <w:r>
              <w:rPr>
                <w:rFonts w:asciiTheme="majorHAnsi" w:hAnsiTheme="majorHAnsi"/>
              </w:rPr>
              <w:t>0,77</w:t>
            </w:r>
          </w:p>
        </w:tc>
        <w:tc>
          <w:tcPr>
            <w:tcW w:w="585" w:type="pct"/>
            <w:noWrap/>
          </w:tcPr>
          <w:p w14:paraId="51975670" w14:textId="68594F77" w:rsidR="00751DFF" w:rsidRPr="00A5344E" w:rsidRDefault="00751DFF" w:rsidP="00751DFF">
            <w:pPr>
              <w:pStyle w:val="Tabellentext"/>
              <w:jc w:val="right"/>
              <w:rPr>
                <w:rFonts w:asciiTheme="majorHAnsi" w:hAnsiTheme="majorHAnsi" w:cstheme="majorHAnsi"/>
              </w:rPr>
            </w:pPr>
            <w:r>
              <w:rPr>
                <w:rFonts w:asciiTheme="majorHAnsi" w:hAnsiTheme="majorHAnsi"/>
              </w:rPr>
              <w:t>0,35</w:t>
            </w:r>
          </w:p>
        </w:tc>
        <w:tc>
          <w:tcPr>
            <w:tcW w:w="585" w:type="pct"/>
            <w:noWrap/>
          </w:tcPr>
          <w:p w14:paraId="35DBF9B4" w14:textId="7E05EAB9" w:rsidR="00751DFF" w:rsidRPr="00A5344E" w:rsidRDefault="00751DFF" w:rsidP="00751DFF">
            <w:pPr>
              <w:pStyle w:val="Tabellentext"/>
              <w:jc w:val="right"/>
              <w:rPr>
                <w:rFonts w:asciiTheme="majorHAnsi" w:hAnsiTheme="majorHAnsi" w:cstheme="majorHAnsi"/>
              </w:rPr>
            </w:pPr>
            <w:r>
              <w:rPr>
                <w:rFonts w:asciiTheme="majorHAnsi" w:hAnsiTheme="majorHAnsi"/>
              </w:rPr>
              <w:t>0,22</w:t>
            </w:r>
          </w:p>
        </w:tc>
        <w:tc>
          <w:tcPr>
            <w:tcW w:w="545" w:type="pct"/>
            <w:noWrap/>
          </w:tcPr>
          <w:p w14:paraId="53074143" w14:textId="2EF399CE" w:rsidR="00751DFF" w:rsidRPr="00A5344E" w:rsidRDefault="00751DFF" w:rsidP="00751DFF">
            <w:pPr>
              <w:pStyle w:val="Tabellentext"/>
              <w:jc w:val="right"/>
              <w:rPr>
                <w:rFonts w:asciiTheme="majorHAnsi" w:hAnsiTheme="majorHAnsi" w:cstheme="majorHAnsi"/>
              </w:rPr>
            </w:pPr>
            <w:r>
              <w:rPr>
                <w:rFonts w:asciiTheme="majorHAnsi" w:hAnsiTheme="majorHAnsi"/>
              </w:rPr>
              <w:t>0,17</w:t>
            </w:r>
          </w:p>
        </w:tc>
        <w:tc>
          <w:tcPr>
            <w:tcW w:w="447" w:type="pct"/>
            <w:noWrap/>
          </w:tcPr>
          <w:p w14:paraId="585F7D22" w14:textId="731B5CD8" w:rsidR="00751DFF" w:rsidRPr="00A5344E" w:rsidRDefault="00751DFF" w:rsidP="00751DFF">
            <w:pPr>
              <w:pStyle w:val="Tabellentext"/>
              <w:jc w:val="right"/>
              <w:rPr>
                <w:rFonts w:asciiTheme="majorHAnsi" w:hAnsiTheme="majorHAnsi" w:cstheme="majorHAnsi"/>
              </w:rPr>
            </w:pPr>
            <w:r>
              <w:rPr>
                <w:rFonts w:asciiTheme="majorHAnsi" w:hAnsiTheme="majorHAnsi"/>
              </w:rPr>
              <w:t>0,27</w:t>
            </w:r>
          </w:p>
        </w:tc>
        <w:tc>
          <w:tcPr>
            <w:tcW w:w="600" w:type="pct"/>
          </w:tcPr>
          <w:p w14:paraId="62505A5D" w14:textId="541DDFA6" w:rsidR="00751DFF" w:rsidRPr="00A5344E" w:rsidRDefault="00751DFF" w:rsidP="00751DFF">
            <w:pPr>
              <w:pStyle w:val="Tabellentext"/>
              <w:jc w:val="right"/>
              <w:rPr>
                <w:rFonts w:asciiTheme="majorHAnsi" w:hAnsiTheme="majorHAnsi" w:cstheme="majorHAnsi"/>
              </w:rPr>
            </w:pPr>
            <w:r>
              <w:rPr>
                <w:rFonts w:asciiTheme="majorHAnsi" w:hAnsiTheme="majorHAnsi"/>
              </w:rPr>
              <w:t>0,31</w:t>
            </w:r>
          </w:p>
        </w:tc>
      </w:tr>
      <w:tr w:rsidR="003473CA" w:rsidRPr="00A5344E" w14:paraId="13E92A60" w14:textId="77777777" w:rsidTr="003473CA">
        <w:trPr>
          <w:cnfStyle w:val="000000100000" w:firstRow="0" w:lastRow="0" w:firstColumn="0" w:lastColumn="0" w:oddVBand="0" w:evenVBand="0" w:oddHBand="1" w:evenHBand="0" w:firstRowFirstColumn="0" w:firstRowLastColumn="0" w:lastRowFirstColumn="0" w:lastRowLastColumn="0"/>
          <w:trHeight w:val="330"/>
        </w:trPr>
        <w:tc>
          <w:tcPr>
            <w:tcW w:w="1642" w:type="pct"/>
            <w:noWrap/>
          </w:tcPr>
          <w:p w14:paraId="1BC7C68D" w14:textId="4E3ADB0F" w:rsidR="00751DFF" w:rsidRPr="00A5344E" w:rsidRDefault="00751DFF" w:rsidP="00751DFF">
            <w:pPr>
              <w:pStyle w:val="Tabellentext"/>
              <w:rPr>
                <w:rFonts w:asciiTheme="majorHAnsi" w:hAnsiTheme="majorHAnsi" w:cstheme="majorHAnsi"/>
                <w:b/>
                <w:bCs/>
              </w:rPr>
            </w:pPr>
            <w:r>
              <w:rPr>
                <w:rFonts w:asciiTheme="majorHAnsi" w:hAnsiTheme="majorHAnsi"/>
              </w:rPr>
              <w:t>Nombre de communes</w:t>
            </w:r>
          </w:p>
        </w:tc>
        <w:tc>
          <w:tcPr>
            <w:tcW w:w="596" w:type="pct"/>
            <w:noWrap/>
          </w:tcPr>
          <w:p w14:paraId="5A18D953" w14:textId="5C8A2427" w:rsidR="00751DFF" w:rsidRPr="00A5344E" w:rsidRDefault="00751DFF" w:rsidP="00751DFF">
            <w:pPr>
              <w:pStyle w:val="Tabellentext"/>
              <w:jc w:val="right"/>
              <w:rPr>
                <w:rFonts w:asciiTheme="majorHAnsi" w:hAnsiTheme="majorHAnsi" w:cstheme="majorHAnsi"/>
              </w:rPr>
            </w:pPr>
            <w:r>
              <w:rPr>
                <w:rFonts w:asciiTheme="majorHAnsi" w:hAnsiTheme="majorHAnsi"/>
              </w:rPr>
              <w:t>18</w:t>
            </w:r>
          </w:p>
        </w:tc>
        <w:tc>
          <w:tcPr>
            <w:tcW w:w="585" w:type="pct"/>
            <w:noWrap/>
          </w:tcPr>
          <w:p w14:paraId="065637A6" w14:textId="47B8A966" w:rsidR="00751DFF" w:rsidRPr="00A5344E" w:rsidRDefault="00751DFF" w:rsidP="00751DFF">
            <w:pPr>
              <w:pStyle w:val="Tabellentext"/>
              <w:jc w:val="right"/>
              <w:rPr>
                <w:rFonts w:asciiTheme="majorHAnsi" w:hAnsiTheme="majorHAnsi" w:cstheme="majorHAnsi"/>
              </w:rPr>
            </w:pPr>
            <w:r>
              <w:rPr>
                <w:rFonts w:asciiTheme="majorHAnsi" w:hAnsiTheme="majorHAnsi"/>
              </w:rPr>
              <w:t>63</w:t>
            </w:r>
          </w:p>
        </w:tc>
        <w:tc>
          <w:tcPr>
            <w:tcW w:w="585" w:type="pct"/>
            <w:noWrap/>
          </w:tcPr>
          <w:p w14:paraId="34A17D66" w14:textId="7B4F771B" w:rsidR="00751DFF" w:rsidRPr="00A5344E" w:rsidRDefault="00751DFF" w:rsidP="00751DFF">
            <w:pPr>
              <w:pStyle w:val="Tabellentext"/>
              <w:jc w:val="right"/>
              <w:rPr>
                <w:rFonts w:asciiTheme="majorHAnsi" w:hAnsiTheme="majorHAnsi" w:cstheme="majorHAnsi"/>
              </w:rPr>
            </w:pPr>
            <w:r>
              <w:rPr>
                <w:rFonts w:asciiTheme="majorHAnsi" w:hAnsiTheme="majorHAnsi"/>
              </w:rPr>
              <w:t>140</w:t>
            </w:r>
          </w:p>
        </w:tc>
        <w:tc>
          <w:tcPr>
            <w:tcW w:w="545" w:type="pct"/>
            <w:noWrap/>
          </w:tcPr>
          <w:p w14:paraId="32547E55" w14:textId="1E4F9F00" w:rsidR="00751DFF" w:rsidRPr="00A5344E" w:rsidRDefault="00751DFF" w:rsidP="00751DFF">
            <w:pPr>
              <w:pStyle w:val="Tabellentext"/>
              <w:jc w:val="right"/>
              <w:rPr>
                <w:rFonts w:asciiTheme="majorHAnsi" w:hAnsiTheme="majorHAnsi" w:cstheme="majorHAnsi"/>
              </w:rPr>
            </w:pPr>
            <w:r>
              <w:rPr>
                <w:rFonts w:asciiTheme="majorHAnsi" w:hAnsiTheme="majorHAnsi"/>
              </w:rPr>
              <w:t>101</w:t>
            </w:r>
          </w:p>
        </w:tc>
        <w:tc>
          <w:tcPr>
            <w:tcW w:w="447" w:type="pct"/>
            <w:noWrap/>
          </w:tcPr>
          <w:p w14:paraId="6E7F5945" w14:textId="720857BF" w:rsidR="00751DFF" w:rsidRPr="00A5344E" w:rsidRDefault="00751DFF" w:rsidP="00751DFF">
            <w:pPr>
              <w:pStyle w:val="Tabellentext"/>
              <w:jc w:val="right"/>
              <w:rPr>
                <w:rFonts w:asciiTheme="majorHAnsi" w:hAnsiTheme="majorHAnsi" w:cstheme="majorHAnsi"/>
              </w:rPr>
            </w:pPr>
            <w:r>
              <w:rPr>
                <w:rFonts w:asciiTheme="majorHAnsi" w:hAnsiTheme="majorHAnsi"/>
              </w:rPr>
              <w:t>15</w:t>
            </w:r>
          </w:p>
        </w:tc>
        <w:tc>
          <w:tcPr>
            <w:tcW w:w="600" w:type="pct"/>
          </w:tcPr>
          <w:p w14:paraId="26909677" w14:textId="5EE5DE2D" w:rsidR="00751DFF" w:rsidRPr="00A5344E" w:rsidRDefault="00751DFF" w:rsidP="00751DFF">
            <w:pPr>
              <w:pStyle w:val="Tabellentext"/>
              <w:jc w:val="right"/>
              <w:rPr>
                <w:rFonts w:asciiTheme="majorHAnsi" w:hAnsiTheme="majorHAnsi" w:cstheme="majorHAnsi"/>
              </w:rPr>
            </w:pPr>
            <w:r>
              <w:rPr>
                <w:rFonts w:asciiTheme="majorHAnsi" w:hAnsiTheme="majorHAnsi"/>
              </w:rPr>
              <w:t>337</w:t>
            </w:r>
          </w:p>
        </w:tc>
      </w:tr>
      <w:tr w:rsidR="003473CA" w:rsidRPr="00A5344E" w14:paraId="6654FEAB" w14:textId="77777777" w:rsidTr="003473CA">
        <w:trPr>
          <w:cnfStyle w:val="000000010000" w:firstRow="0" w:lastRow="0" w:firstColumn="0" w:lastColumn="0" w:oddVBand="0" w:evenVBand="0" w:oddHBand="0" w:evenHBand="1" w:firstRowFirstColumn="0" w:firstRowLastColumn="0" w:lastRowFirstColumn="0" w:lastRowLastColumn="0"/>
          <w:trHeight w:val="330"/>
        </w:trPr>
        <w:tc>
          <w:tcPr>
            <w:tcW w:w="1642" w:type="pct"/>
            <w:noWrap/>
          </w:tcPr>
          <w:p w14:paraId="730B61DD" w14:textId="33AE36F9" w:rsidR="00751DFF" w:rsidRPr="00A5344E" w:rsidRDefault="00751DFF" w:rsidP="00751DFF">
            <w:pPr>
              <w:pStyle w:val="Tabellentext"/>
              <w:rPr>
                <w:rFonts w:asciiTheme="majorHAnsi" w:hAnsiTheme="majorHAnsi" w:cstheme="majorHAnsi"/>
                <w:b/>
                <w:bCs/>
              </w:rPr>
            </w:pPr>
            <w:r>
              <w:rPr>
                <w:rFonts w:asciiTheme="majorHAnsi" w:hAnsiTheme="majorHAnsi"/>
              </w:rPr>
              <w:t>Nombre d’habitantes et habitants</w:t>
            </w:r>
          </w:p>
        </w:tc>
        <w:tc>
          <w:tcPr>
            <w:tcW w:w="596" w:type="pct"/>
            <w:noWrap/>
          </w:tcPr>
          <w:p w14:paraId="16B655F2" w14:textId="4165B876" w:rsidR="00751DFF" w:rsidRPr="00A5344E" w:rsidRDefault="00751DFF" w:rsidP="00751DFF">
            <w:pPr>
              <w:pStyle w:val="Tabellentext"/>
              <w:jc w:val="right"/>
              <w:rPr>
                <w:rFonts w:asciiTheme="majorHAnsi" w:hAnsiTheme="majorHAnsi" w:cstheme="majorHAnsi"/>
              </w:rPr>
            </w:pPr>
            <w:r>
              <w:rPr>
                <w:rFonts w:asciiTheme="majorHAnsi" w:hAnsiTheme="majorHAnsi"/>
              </w:rPr>
              <w:t>59 751</w:t>
            </w:r>
          </w:p>
        </w:tc>
        <w:tc>
          <w:tcPr>
            <w:tcW w:w="585" w:type="pct"/>
            <w:noWrap/>
          </w:tcPr>
          <w:p w14:paraId="6C0BE5BA" w14:textId="599C69E1" w:rsidR="00751DFF" w:rsidRPr="00A5344E" w:rsidRDefault="00751DFF" w:rsidP="00751DFF">
            <w:pPr>
              <w:pStyle w:val="Tabellentext"/>
              <w:jc w:val="right"/>
              <w:rPr>
                <w:rFonts w:asciiTheme="majorHAnsi" w:hAnsiTheme="majorHAnsi" w:cstheme="majorHAnsi"/>
              </w:rPr>
            </w:pPr>
            <w:r>
              <w:rPr>
                <w:rFonts w:asciiTheme="majorHAnsi" w:hAnsiTheme="majorHAnsi"/>
              </w:rPr>
              <w:t>356 075</w:t>
            </w:r>
          </w:p>
        </w:tc>
        <w:tc>
          <w:tcPr>
            <w:tcW w:w="585" w:type="pct"/>
            <w:noWrap/>
          </w:tcPr>
          <w:p w14:paraId="1F78EEFB" w14:textId="794B1C15" w:rsidR="00751DFF" w:rsidRPr="00A5344E" w:rsidRDefault="00751DFF" w:rsidP="00751DFF">
            <w:pPr>
              <w:pStyle w:val="Tabellentext"/>
              <w:jc w:val="right"/>
              <w:rPr>
                <w:rFonts w:asciiTheme="majorHAnsi" w:hAnsiTheme="majorHAnsi" w:cstheme="majorHAnsi"/>
              </w:rPr>
            </w:pPr>
            <w:r>
              <w:rPr>
                <w:rFonts w:asciiTheme="majorHAnsi" w:hAnsiTheme="majorHAnsi"/>
              </w:rPr>
              <w:t>469 856</w:t>
            </w:r>
          </w:p>
        </w:tc>
        <w:tc>
          <w:tcPr>
            <w:tcW w:w="545" w:type="pct"/>
            <w:noWrap/>
          </w:tcPr>
          <w:p w14:paraId="7D74E7ED" w14:textId="37E17E08" w:rsidR="00751DFF" w:rsidRPr="00A5344E" w:rsidRDefault="00751DFF" w:rsidP="00751DFF">
            <w:pPr>
              <w:pStyle w:val="Tabellentext"/>
              <w:jc w:val="right"/>
              <w:rPr>
                <w:rFonts w:asciiTheme="majorHAnsi" w:hAnsiTheme="majorHAnsi" w:cstheme="majorHAnsi"/>
              </w:rPr>
            </w:pPr>
            <w:r>
              <w:rPr>
                <w:rFonts w:asciiTheme="majorHAnsi" w:hAnsiTheme="majorHAnsi"/>
              </w:rPr>
              <w:t>154 947</w:t>
            </w:r>
          </w:p>
        </w:tc>
        <w:tc>
          <w:tcPr>
            <w:tcW w:w="447" w:type="pct"/>
            <w:noWrap/>
          </w:tcPr>
          <w:p w14:paraId="08F259A6" w14:textId="6EFB6B21" w:rsidR="00751DFF" w:rsidRPr="00A5344E" w:rsidRDefault="00751DFF" w:rsidP="00751DFF">
            <w:pPr>
              <w:pStyle w:val="Tabellentext"/>
              <w:jc w:val="right"/>
              <w:rPr>
                <w:rFonts w:asciiTheme="majorHAnsi" w:hAnsiTheme="majorHAnsi" w:cstheme="majorHAnsi"/>
              </w:rPr>
            </w:pPr>
            <w:r>
              <w:rPr>
                <w:rFonts w:asciiTheme="majorHAnsi" w:hAnsiTheme="majorHAnsi"/>
              </w:rPr>
              <w:t>13 473</w:t>
            </w:r>
          </w:p>
        </w:tc>
        <w:tc>
          <w:tcPr>
            <w:tcW w:w="600" w:type="pct"/>
          </w:tcPr>
          <w:p w14:paraId="5465F42B" w14:textId="1A2FAB12" w:rsidR="00751DFF" w:rsidRPr="00A5344E" w:rsidRDefault="00751DFF" w:rsidP="00751DFF">
            <w:pPr>
              <w:pStyle w:val="Tabellentext"/>
              <w:jc w:val="right"/>
              <w:rPr>
                <w:rFonts w:asciiTheme="majorHAnsi" w:hAnsiTheme="majorHAnsi" w:cstheme="majorHAnsi"/>
              </w:rPr>
            </w:pPr>
            <w:r>
              <w:rPr>
                <w:rFonts w:asciiTheme="majorHAnsi" w:hAnsiTheme="majorHAnsi"/>
              </w:rPr>
              <w:t>1 054 102</w:t>
            </w:r>
          </w:p>
        </w:tc>
      </w:tr>
      <w:tr w:rsidR="003473CA" w:rsidRPr="00A5344E" w14:paraId="4F312698" w14:textId="77777777" w:rsidTr="003473CA">
        <w:trPr>
          <w:cnfStyle w:val="000000100000" w:firstRow="0" w:lastRow="0" w:firstColumn="0" w:lastColumn="0" w:oddVBand="0" w:evenVBand="0" w:oddHBand="1" w:evenHBand="0" w:firstRowFirstColumn="0" w:firstRowLastColumn="0" w:lastRowFirstColumn="0" w:lastRowLastColumn="0"/>
          <w:trHeight w:val="330"/>
        </w:trPr>
        <w:tc>
          <w:tcPr>
            <w:tcW w:w="1642" w:type="pct"/>
            <w:noWrap/>
          </w:tcPr>
          <w:p w14:paraId="65BAD949" w14:textId="37D12B60" w:rsidR="00751DFF" w:rsidRPr="00A5344E" w:rsidRDefault="00751DFF" w:rsidP="00751DFF">
            <w:pPr>
              <w:pStyle w:val="Tabellentext"/>
              <w:rPr>
                <w:rFonts w:asciiTheme="majorHAnsi" w:hAnsiTheme="majorHAnsi" w:cstheme="majorHAnsi"/>
                <w:b/>
                <w:bCs/>
              </w:rPr>
            </w:pPr>
            <w:r>
              <w:rPr>
                <w:rFonts w:asciiTheme="majorHAnsi" w:hAnsiTheme="majorHAnsi"/>
              </w:rPr>
              <w:t>Charge supplémentaire par personne</w:t>
            </w:r>
          </w:p>
        </w:tc>
        <w:tc>
          <w:tcPr>
            <w:tcW w:w="596" w:type="pct"/>
            <w:noWrap/>
          </w:tcPr>
          <w:p w14:paraId="4C2EA654" w14:textId="32E96D4D" w:rsidR="00751DFF" w:rsidRPr="00A5344E" w:rsidRDefault="00751DFF" w:rsidP="00751DFF">
            <w:pPr>
              <w:pStyle w:val="Tabellentext"/>
              <w:jc w:val="right"/>
              <w:rPr>
                <w:rFonts w:asciiTheme="majorHAnsi" w:hAnsiTheme="majorHAnsi" w:cstheme="majorHAnsi"/>
              </w:rPr>
            </w:pPr>
            <w:r>
              <w:rPr>
                <w:rFonts w:asciiTheme="majorHAnsi" w:hAnsiTheme="majorHAnsi"/>
              </w:rPr>
              <w:t>202</w:t>
            </w:r>
          </w:p>
        </w:tc>
        <w:tc>
          <w:tcPr>
            <w:tcW w:w="585" w:type="pct"/>
            <w:noWrap/>
          </w:tcPr>
          <w:p w14:paraId="34AFB211" w14:textId="6D30C46C" w:rsidR="00751DFF" w:rsidRPr="00A5344E" w:rsidRDefault="00751DFF" w:rsidP="00751DFF">
            <w:pPr>
              <w:pStyle w:val="Tabellentext"/>
              <w:jc w:val="right"/>
              <w:rPr>
                <w:rFonts w:asciiTheme="majorHAnsi" w:hAnsiTheme="majorHAnsi" w:cstheme="majorHAnsi"/>
              </w:rPr>
            </w:pPr>
            <w:r>
              <w:rPr>
                <w:rFonts w:asciiTheme="majorHAnsi" w:hAnsiTheme="majorHAnsi"/>
              </w:rPr>
              <w:t>64</w:t>
            </w:r>
          </w:p>
        </w:tc>
        <w:tc>
          <w:tcPr>
            <w:tcW w:w="585" w:type="pct"/>
            <w:noWrap/>
          </w:tcPr>
          <w:p w14:paraId="534F0FF0" w14:textId="65A18585" w:rsidR="00751DFF" w:rsidRPr="00A5344E" w:rsidRDefault="00751DFF" w:rsidP="00751DFF">
            <w:pPr>
              <w:pStyle w:val="Tabellentext"/>
              <w:jc w:val="right"/>
              <w:rPr>
                <w:rFonts w:asciiTheme="majorHAnsi" w:hAnsiTheme="majorHAnsi" w:cstheme="majorHAnsi"/>
              </w:rPr>
            </w:pPr>
            <w:r>
              <w:rPr>
                <w:rFonts w:asciiTheme="majorHAnsi" w:hAnsiTheme="majorHAnsi"/>
              </w:rPr>
              <w:t>31</w:t>
            </w:r>
          </w:p>
        </w:tc>
        <w:tc>
          <w:tcPr>
            <w:tcW w:w="545" w:type="pct"/>
            <w:noWrap/>
          </w:tcPr>
          <w:p w14:paraId="1B235B42" w14:textId="538EA98E" w:rsidR="00751DFF" w:rsidRPr="00A5344E" w:rsidRDefault="00751DFF" w:rsidP="00751DFF">
            <w:pPr>
              <w:pStyle w:val="Tabellentext"/>
              <w:jc w:val="right"/>
              <w:rPr>
                <w:rFonts w:asciiTheme="majorHAnsi" w:hAnsiTheme="majorHAnsi" w:cstheme="majorHAnsi"/>
              </w:rPr>
            </w:pPr>
            <w:r>
              <w:rPr>
                <w:rFonts w:asciiTheme="majorHAnsi" w:hAnsiTheme="majorHAnsi"/>
              </w:rPr>
              <w:t>20</w:t>
            </w:r>
          </w:p>
        </w:tc>
        <w:tc>
          <w:tcPr>
            <w:tcW w:w="447" w:type="pct"/>
            <w:noWrap/>
          </w:tcPr>
          <w:p w14:paraId="3670AA20" w14:textId="4D9B1578" w:rsidR="00751DFF" w:rsidRPr="00A5344E" w:rsidRDefault="00751DFF" w:rsidP="00751DFF">
            <w:pPr>
              <w:pStyle w:val="Tabellentext"/>
              <w:jc w:val="right"/>
              <w:rPr>
                <w:rFonts w:asciiTheme="majorHAnsi" w:hAnsiTheme="majorHAnsi" w:cstheme="majorHAnsi"/>
              </w:rPr>
            </w:pPr>
            <w:r>
              <w:rPr>
                <w:rFonts w:asciiTheme="majorHAnsi" w:hAnsiTheme="majorHAnsi"/>
              </w:rPr>
              <w:t>30</w:t>
            </w:r>
          </w:p>
        </w:tc>
        <w:tc>
          <w:tcPr>
            <w:tcW w:w="600" w:type="pct"/>
          </w:tcPr>
          <w:p w14:paraId="1B3B5B7A" w14:textId="1F19DE48" w:rsidR="00751DFF" w:rsidRPr="00A5344E" w:rsidRDefault="00751DFF" w:rsidP="00751DFF">
            <w:pPr>
              <w:pStyle w:val="Tabellentext"/>
              <w:jc w:val="right"/>
              <w:rPr>
                <w:rFonts w:asciiTheme="majorHAnsi" w:hAnsiTheme="majorHAnsi" w:cstheme="majorHAnsi"/>
              </w:rPr>
            </w:pPr>
            <w:r>
              <w:rPr>
                <w:rFonts w:asciiTheme="majorHAnsi" w:hAnsiTheme="majorHAnsi"/>
              </w:rPr>
              <w:t>50</w:t>
            </w:r>
          </w:p>
        </w:tc>
      </w:tr>
    </w:tbl>
    <w:p w14:paraId="148829A2" w14:textId="2E71142E" w:rsidR="004E4BBE" w:rsidRPr="00A5344E" w:rsidRDefault="004E4BBE" w:rsidP="004E4BBE">
      <w:pPr>
        <w:rPr>
          <w:rFonts w:asciiTheme="majorHAnsi" w:hAnsiTheme="majorHAnsi" w:cstheme="majorHAnsi"/>
        </w:rPr>
      </w:pPr>
    </w:p>
    <w:p w14:paraId="16F0D204" w14:textId="44F68BCA" w:rsidR="004E4BBE" w:rsidRPr="00A5344E" w:rsidRDefault="004E4BBE" w:rsidP="004E4BBE">
      <w:pPr>
        <w:pStyle w:val="berschrift2nummeriert"/>
        <w:rPr>
          <w:rFonts w:cstheme="majorHAnsi"/>
        </w:rPr>
      </w:pPr>
      <w:bookmarkStart w:id="40" w:name="_Ref185250267"/>
      <w:bookmarkStart w:id="41" w:name="_Toc196227257"/>
      <w:r>
        <w:t>Conclusion</w:t>
      </w:r>
      <w:bookmarkEnd w:id="40"/>
      <w:bookmarkEnd w:id="41"/>
    </w:p>
    <w:p w14:paraId="6318ABA2" w14:textId="2B68B3A4" w:rsidR="004E4BBE" w:rsidRPr="00A5344E" w:rsidRDefault="00827FD3" w:rsidP="00827FD3">
      <w:pPr>
        <w:rPr>
          <w:rFonts w:asciiTheme="majorHAnsi" w:hAnsiTheme="majorHAnsi" w:cstheme="majorHAnsi"/>
          <w:highlight w:val="yellow"/>
        </w:rPr>
      </w:pPr>
      <w:r>
        <w:rPr>
          <w:rFonts w:asciiTheme="majorHAnsi" w:hAnsiTheme="majorHAnsi"/>
        </w:rPr>
        <w:t>L’analyse des effets de la LPFC de 2019 à 2023 montre que l’augmentation des coûts dans les secteurs concernés par la compensation des charges s’est traduite par des charges supplémentaires pour toutes les communes. Mesurée en dixièmes de quotité d’impôt, cette progression a moins touché les communes financièrement fortes. Les différents instruments de péréquation financière ont permis d’amortir une partie de cette charge supplémentaire, surtout pour les communes les plus faibles financièrement.</w:t>
      </w:r>
    </w:p>
    <w:p w14:paraId="10E465BD" w14:textId="53713793" w:rsidR="004E4BBE" w:rsidRPr="00A5344E" w:rsidRDefault="004E4BBE" w:rsidP="004E4BBE">
      <w:pPr>
        <w:pStyle w:val="berschrift2nummeriert"/>
        <w:rPr>
          <w:rFonts w:cstheme="majorHAnsi"/>
        </w:rPr>
      </w:pPr>
      <w:bookmarkStart w:id="42" w:name="_Ref185250193"/>
      <w:bookmarkStart w:id="43" w:name="_Toc196227258"/>
      <w:r>
        <w:lastRenderedPageBreak/>
        <w:t>Évolution des quotités d’impôt des communes</w:t>
      </w:r>
      <w:bookmarkEnd w:id="42"/>
      <w:bookmarkEnd w:id="43"/>
    </w:p>
    <w:p w14:paraId="7DF37344" w14:textId="7192AC37" w:rsidR="000B5F99" w:rsidRPr="00A5344E" w:rsidRDefault="00876211" w:rsidP="00876211">
      <w:pPr>
        <w:rPr>
          <w:rFonts w:asciiTheme="majorHAnsi" w:hAnsiTheme="majorHAnsi" w:cstheme="majorHAnsi"/>
        </w:rPr>
      </w:pPr>
      <w:r>
        <w:rPr>
          <w:rFonts w:asciiTheme="majorHAnsi" w:hAnsiTheme="majorHAnsi"/>
        </w:rPr>
        <w:t xml:space="preserve">En 2023, les communes ayant réduit leur quotité d’impôt par rapport à l’année précédente ont été plus nombreuses (20) que celles qui l’ont augmentée (14). </w:t>
      </w:r>
    </w:p>
    <w:p w14:paraId="5E5A1720" w14:textId="77777777" w:rsidR="000B5F99" w:rsidRPr="00A5344E" w:rsidRDefault="000B5F99" w:rsidP="000B5F99">
      <w:pPr>
        <w:rPr>
          <w:rFonts w:asciiTheme="majorHAnsi" w:hAnsiTheme="majorHAnsi" w:cstheme="majorHAnsi"/>
        </w:rPr>
      </w:pPr>
    </w:p>
    <w:p w14:paraId="42DC00F2" w14:textId="2EE74FBB" w:rsidR="000B5F99" w:rsidRPr="00A5344E" w:rsidRDefault="000B5F99" w:rsidP="000B5F99">
      <w:pPr>
        <w:rPr>
          <w:rFonts w:asciiTheme="majorHAnsi" w:hAnsiTheme="majorHAnsi" w:cstheme="majorHAnsi"/>
        </w:rPr>
      </w:pPr>
      <w:r>
        <w:rPr>
          <w:rFonts w:asciiTheme="majorHAnsi" w:hAnsiTheme="majorHAnsi"/>
        </w:rPr>
        <w:t>Voici sommairement les répercussions financières de ces changements :</w:t>
      </w:r>
    </w:p>
    <w:p w14:paraId="0D1D1F2E" w14:textId="6CFEDD8C" w:rsidR="000B5F99" w:rsidRPr="00A5344E" w:rsidRDefault="00876211" w:rsidP="000B5F99">
      <w:pPr>
        <w:pStyle w:val="Aufzhlungszeichen"/>
        <w:contextualSpacing w:val="0"/>
        <w:rPr>
          <w:rFonts w:asciiTheme="majorHAnsi" w:hAnsiTheme="majorHAnsi" w:cstheme="majorHAnsi"/>
        </w:rPr>
      </w:pPr>
      <w:r>
        <w:rPr>
          <w:rFonts w:asciiTheme="majorHAnsi" w:hAnsiTheme="majorHAnsi"/>
        </w:rPr>
        <w:t>14 communes ont augmenté leur quotité d’impôt pour 2023, dont trois (totalisant environ 2 800 habitantes et habitants) de plus de 0,1 dixième.</w:t>
      </w:r>
    </w:p>
    <w:p w14:paraId="47E14255" w14:textId="768605B3" w:rsidR="000B5F99" w:rsidRPr="00A5344E" w:rsidRDefault="005646C3" w:rsidP="000B5F99">
      <w:pPr>
        <w:pStyle w:val="Aufzhlungszeichen"/>
        <w:contextualSpacing w:val="0"/>
        <w:rPr>
          <w:rFonts w:asciiTheme="majorHAnsi" w:hAnsiTheme="majorHAnsi" w:cstheme="majorHAnsi"/>
        </w:rPr>
      </w:pPr>
      <w:r>
        <w:rPr>
          <w:rFonts w:asciiTheme="majorHAnsi" w:hAnsiTheme="majorHAnsi"/>
        </w:rPr>
        <w:t>20 communes l’ont baissée, dont quatre (totalisant environ 14 400 habitantes et habitants) de plus de 0,1 dixième.</w:t>
      </w:r>
    </w:p>
    <w:p w14:paraId="3AA23C47" w14:textId="136C6506" w:rsidR="000B5F99" w:rsidRPr="00A5344E" w:rsidRDefault="005646C3" w:rsidP="000B5F99">
      <w:pPr>
        <w:pStyle w:val="Aufzhlungszeichen"/>
        <w:contextualSpacing w:val="0"/>
        <w:rPr>
          <w:rFonts w:asciiTheme="majorHAnsi" w:hAnsiTheme="majorHAnsi" w:cstheme="majorHAnsi"/>
        </w:rPr>
      </w:pPr>
      <w:r>
        <w:rPr>
          <w:rFonts w:asciiTheme="majorHAnsi" w:hAnsiTheme="majorHAnsi"/>
        </w:rPr>
        <w:t>Par rapport à 2019, les impôts communaux représentent une charge nette d’environ 50 francs par contribuable.</w:t>
      </w:r>
    </w:p>
    <w:p w14:paraId="049C17BB" w14:textId="77777777" w:rsidR="0063677D" w:rsidRDefault="0063677D" w:rsidP="000B5F99">
      <w:pPr>
        <w:rPr>
          <w:rFonts w:asciiTheme="majorHAnsi" w:hAnsiTheme="majorHAnsi"/>
        </w:rPr>
      </w:pPr>
    </w:p>
    <w:p w14:paraId="6DD0A0CC" w14:textId="6FF971B6" w:rsidR="000B5F99" w:rsidRDefault="009C2190" w:rsidP="000B5F99">
      <w:pPr>
        <w:rPr>
          <w:rFonts w:asciiTheme="majorHAnsi" w:hAnsiTheme="majorHAnsi"/>
        </w:rPr>
      </w:pPr>
      <w:r>
        <w:rPr>
          <w:rFonts w:asciiTheme="majorHAnsi" w:hAnsiTheme="majorHAnsi"/>
        </w:rPr>
        <w:t>L’</w:t>
      </w:r>
      <w:r w:rsidRPr="00A5344E">
        <w:rPr>
          <w:rFonts w:asciiTheme="majorHAnsi" w:hAnsiTheme="majorHAnsi" w:cstheme="majorHAnsi"/>
        </w:rPr>
        <w:fldChar w:fldCharType="begin"/>
      </w:r>
      <w:r w:rsidRPr="00A5344E">
        <w:rPr>
          <w:rFonts w:asciiTheme="majorHAnsi" w:hAnsiTheme="majorHAnsi" w:cstheme="majorHAnsi"/>
        </w:rPr>
        <w:instrText xml:space="preserve"> REF _Ref185251501 \h </w:instrText>
      </w:r>
      <w:r w:rsidR="00A36436" w:rsidRPr="00A5344E">
        <w:rPr>
          <w:rFonts w:asciiTheme="majorHAnsi" w:hAnsiTheme="majorHAnsi" w:cstheme="majorHAnsi"/>
        </w:rPr>
        <w:instrText xml:space="preserve"> </w:instrText>
      </w:r>
      <w:r w:rsidR="00551742" w:rsidRPr="00551742">
        <w:rPr>
          <w:rFonts w:asciiTheme="majorHAnsi" w:hAnsiTheme="majorHAnsi" w:cstheme="majorHAnsi"/>
        </w:rPr>
        <w:instrText>\* charformat</w:instrText>
      </w:r>
      <w:r w:rsidR="00A36436" w:rsidRPr="00A5344E">
        <w:rPr>
          <w:rFonts w:asciiTheme="majorHAnsi" w:hAnsiTheme="majorHAnsi" w:cstheme="majorHAnsi"/>
        </w:rPr>
        <w:instrText xml:space="preserve"> </w:instrText>
      </w:r>
      <w:r w:rsidR="0063677D">
        <w:rPr>
          <w:rFonts w:asciiTheme="majorHAnsi" w:hAnsiTheme="majorHAnsi" w:cstheme="majorHAnsi"/>
        </w:rPr>
        <w:instrText xml:space="preserve">\* Lower </w:instrText>
      </w:r>
      <w:r w:rsidRPr="00A5344E">
        <w:rPr>
          <w:rFonts w:asciiTheme="majorHAnsi" w:hAnsiTheme="majorHAnsi" w:cstheme="majorHAnsi"/>
        </w:rPr>
      </w:r>
      <w:r w:rsidRPr="00A5344E">
        <w:rPr>
          <w:rFonts w:asciiTheme="majorHAnsi" w:hAnsiTheme="majorHAnsi" w:cstheme="majorHAnsi"/>
        </w:rPr>
        <w:fldChar w:fldCharType="separate"/>
      </w:r>
      <w:r w:rsidR="00551742" w:rsidRPr="00551742">
        <w:rPr>
          <w:rFonts w:asciiTheme="majorHAnsi" w:hAnsiTheme="majorHAnsi" w:cstheme="majorHAnsi"/>
        </w:rPr>
        <w:t>illustration 9</w:t>
      </w:r>
      <w:r w:rsidRPr="00A5344E">
        <w:rPr>
          <w:rFonts w:asciiTheme="majorHAnsi" w:hAnsiTheme="majorHAnsi" w:cstheme="majorHAnsi"/>
        </w:rPr>
        <w:fldChar w:fldCharType="end"/>
      </w:r>
      <w:r>
        <w:rPr>
          <w:rFonts w:asciiTheme="majorHAnsi" w:hAnsiTheme="majorHAnsi"/>
        </w:rPr>
        <w:t xml:space="preserve"> montre l’évolution des quotités d’impôt des communes de 2020 à 2023 (dans 5 catégories). On observe une légère tendance au nivellement des quotités d’impôt sur cette période. Par exemple, le nombre de communes dont la quotité d’impôt est comprise entre 1,8 et 1,99 a baissé. En 2023, la quotité d’impôt était supérieure ou égale à 2 pour 1,3 pour cent de la population résidante (13 473 personnes).</w:t>
      </w:r>
    </w:p>
    <w:p w14:paraId="1092CED6" w14:textId="77777777" w:rsidR="0063677D" w:rsidRPr="00A5344E" w:rsidRDefault="0063677D" w:rsidP="000B5F99">
      <w:pPr>
        <w:rPr>
          <w:rFonts w:asciiTheme="majorHAnsi" w:hAnsiTheme="majorHAnsi" w:cstheme="majorHAnsi"/>
        </w:rPr>
      </w:pPr>
    </w:p>
    <w:p w14:paraId="38B46572" w14:textId="42104377" w:rsidR="001E0DF4" w:rsidRPr="00A5344E" w:rsidRDefault="001E0DF4" w:rsidP="00036B8D">
      <w:pPr>
        <w:pStyle w:val="Beschriftung"/>
        <w:keepNext/>
        <w:ind w:left="1410" w:hanging="1410"/>
        <w:rPr>
          <w:rFonts w:asciiTheme="majorHAnsi" w:hAnsiTheme="majorHAnsi" w:cstheme="majorHAnsi"/>
          <w:b/>
          <w:bCs w:val="0"/>
        </w:rPr>
      </w:pPr>
      <w:bookmarkStart w:id="44" w:name="_Ref185251501"/>
      <w:r>
        <w:rPr>
          <w:rFonts w:asciiTheme="majorHAnsi" w:hAnsiTheme="majorHAnsi"/>
          <w:b/>
        </w:rPr>
        <w:t>Illustration</w:t>
      </w:r>
      <w:r w:rsidR="0063677D">
        <w:rPr>
          <w:rFonts w:asciiTheme="majorHAnsi" w:hAnsiTheme="majorHAnsi"/>
          <w:b/>
        </w:rPr>
        <w:t xml:space="preserve"> </w:t>
      </w:r>
      <w:r w:rsidR="007732EE" w:rsidRPr="00A5344E">
        <w:rPr>
          <w:rFonts w:asciiTheme="majorHAnsi" w:hAnsiTheme="majorHAnsi" w:cstheme="majorHAnsi"/>
          <w:b/>
        </w:rPr>
        <w:fldChar w:fldCharType="begin"/>
      </w:r>
      <w:r w:rsidR="007732EE" w:rsidRPr="00A5344E">
        <w:rPr>
          <w:rFonts w:asciiTheme="majorHAnsi" w:hAnsiTheme="majorHAnsi" w:cstheme="majorHAnsi"/>
          <w:b/>
        </w:rPr>
        <w:instrText xml:space="preserve"> SEQ Abbildung \* ARABIC </w:instrText>
      </w:r>
      <w:r w:rsidR="007732EE" w:rsidRPr="00A5344E">
        <w:rPr>
          <w:rFonts w:asciiTheme="majorHAnsi" w:hAnsiTheme="majorHAnsi" w:cstheme="majorHAnsi"/>
          <w:b/>
        </w:rPr>
        <w:fldChar w:fldCharType="separate"/>
      </w:r>
      <w:r w:rsidR="00A513C6" w:rsidRPr="00A5344E">
        <w:rPr>
          <w:rFonts w:asciiTheme="majorHAnsi" w:hAnsiTheme="majorHAnsi" w:cstheme="majorHAnsi"/>
          <w:b/>
        </w:rPr>
        <w:t>9</w:t>
      </w:r>
      <w:r w:rsidR="007732EE" w:rsidRPr="00A5344E">
        <w:rPr>
          <w:rFonts w:asciiTheme="majorHAnsi" w:hAnsiTheme="majorHAnsi" w:cstheme="majorHAnsi"/>
          <w:b/>
        </w:rPr>
        <w:fldChar w:fldCharType="end"/>
      </w:r>
      <w:bookmarkEnd w:id="44"/>
      <w:r>
        <w:rPr>
          <w:rFonts w:asciiTheme="majorHAnsi" w:hAnsiTheme="majorHAnsi"/>
          <w:b/>
        </w:rPr>
        <w:t> :</w:t>
      </w:r>
      <w:r>
        <w:rPr>
          <w:rFonts w:asciiTheme="majorHAnsi" w:hAnsiTheme="majorHAnsi"/>
          <w:b/>
        </w:rPr>
        <w:tab/>
        <w:t>Évolution des quotités d’impôt communales de 2020 à 2023</w:t>
      </w:r>
      <w:r>
        <w:rPr>
          <w:rFonts w:asciiTheme="majorHAnsi" w:hAnsiTheme="majorHAnsi"/>
          <w:b/>
        </w:rPr>
        <w:br/>
        <w:t>(nombre de communes non pondéré)</w:t>
      </w:r>
    </w:p>
    <w:p w14:paraId="20EA79C3" w14:textId="68FFB8E8" w:rsidR="001E0DF4" w:rsidRPr="00A5344E" w:rsidRDefault="0063677D" w:rsidP="000B5F99">
      <w:pPr>
        <w:rPr>
          <w:rFonts w:asciiTheme="majorHAnsi" w:hAnsiTheme="majorHAnsi" w:cstheme="majorHAnsi"/>
          <w:highlight w:val="yellow"/>
        </w:rPr>
      </w:pPr>
      <w:r>
        <w:rPr>
          <w:rFonts w:asciiTheme="majorHAnsi" w:hAnsiTheme="majorHAnsi" w:cstheme="majorHAnsi"/>
          <w:noProof/>
          <w:highlight w:val="yellow"/>
        </w:rPr>
        <w:drawing>
          <wp:inline distT="0" distB="0" distL="0" distR="0" wp14:anchorId="35657D64" wp14:editId="11882864">
            <wp:extent cx="5261610" cy="2804160"/>
            <wp:effectExtent l="0" t="0" r="0" b="0"/>
            <wp:docPr id="30824153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610" cy="2804160"/>
                    </a:xfrm>
                    <a:prstGeom prst="rect">
                      <a:avLst/>
                    </a:prstGeom>
                    <a:noFill/>
                  </pic:spPr>
                </pic:pic>
              </a:graphicData>
            </a:graphic>
          </wp:inline>
        </w:drawing>
      </w:r>
    </w:p>
    <w:p w14:paraId="689C3FB8" w14:textId="77777777" w:rsidR="001E0DF4" w:rsidRPr="00A5344E" w:rsidRDefault="001E0DF4" w:rsidP="000B5F99">
      <w:pPr>
        <w:rPr>
          <w:rFonts w:asciiTheme="majorHAnsi" w:hAnsiTheme="majorHAnsi" w:cstheme="majorHAnsi"/>
          <w:highlight w:val="yellow"/>
        </w:rPr>
      </w:pPr>
    </w:p>
    <w:p w14:paraId="5474C0B4" w14:textId="14687DD1" w:rsidR="001E0DF4" w:rsidRPr="00A5344E" w:rsidRDefault="001E0DF4" w:rsidP="001E0DF4">
      <w:pPr>
        <w:pStyle w:val="berschrift2nummeriert"/>
        <w:rPr>
          <w:rFonts w:cstheme="majorHAnsi"/>
        </w:rPr>
      </w:pPr>
      <w:bookmarkStart w:id="45" w:name="_Ref185250197"/>
      <w:bookmarkStart w:id="46" w:name="_Toc196227259"/>
      <w:r>
        <w:t>Évolution des rentrées fiscales des communes</w:t>
      </w:r>
      <w:bookmarkEnd w:id="45"/>
      <w:bookmarkEnd w:id="46"/>
    </w:p>
    <w:p w14:paraId="60A2AFCB" w14:textId="3080AF3D" w:rsidR="009C2190" w:rsidRPr="00A5344E" w:rsidRDefault="001E0DF4" w:rsidP="001E0DF4">
      <w:pPr>
        <w:rPr>
          <w:rFonts w:asciiTheme="majorHAnsi" w:hAnsiTheme="majorHAnsi" w:cstheme="majorHAnsi"/>
        </w:rPr>
      </w:pPr>
      <w:r>
        <w:rPr>
          <w:rFonts w:asciiTheme="majorHAnsi" w:hAnsiTheme="majorHAnsi"/>
        </w:rPr>
        <w:t>Les rentrées fiscales ont augmenté entre 2019 et 2023, passant de 2 487 à 2 721 millions de francs. C’est particulièrement vrai du produit des impôts sur les personnes morales, qui a dépassé les espérances grâce à la conjoncture économique.</w:t>
      </w:r>
    </w:p>
    <w:p w14:paraId="10FAEAAC" w14:textId="77777777" w:rsidR="00827FD3" w:rsidRPr="00A5344E" w:rsidRDefault="00827FD3" w:rsidP="001E0DF4">
      <w:pPr>
        <w:rPr>
          <w:rFonts w:asciiTheme="majorHAnsi" w:hAnsiTheme="majorHAnsi" w:cstheme="majorHAnsi"/>
        </w:rPr>
      </w:pPr>
    </w:p>
    <w:p w14:paraId="38162076" w14:textId="52D959AD" w:rsidR="009C2190" w:rsidRPr="00A5344E" w:rsidRDefault="009C2190" w:rsidP="009C2190">
      <w:pPr>
        <w:pStyle w:val="Beschriftung"/>
        <w:keepNext/>
        <w:rPr>
          <w:rFonts w:asciiTheme="majorHAnsi" w:hAnsiTheme="majorHAnsi" w:cstheme="majorHAnsi"/>
          <w:b/>
          <w:bCs w:val="0"/>
        </w:rPr>
      </w:pPr>
      <w:r>
        <w:rPr>
          <w:rFonts w:asciiTheme="majorHAnsi" w:hAnsiTheme="majorHAnsi"/>
          <w:b/>
        </w:rPr>
        <w:lastRenderedPageBreak/>
        <w:t xml:space="preserve">Illustration </w:t>
      </w:r>
      <w:r w:rsidR="007732EE" w:rsidRPr="00A5344E">
        <w:rPr>
          <w:rFonts w:asciiTheme="majorHAnsi" w:hAnsiTheme="majorHAnsi" w:cstheme="majorHAnsi"/>
          <w:b/>
        </w:rPr>
        <w:fldChar w:fldCharType="begin"/>
      </w:r>
      <w:r w:rsidR="007732EE" w:rsidRPr="00A5344E">
        <w:rPr>
          <w:rFonts w:asciiTheme="majorHAnsi" w:hAnsiTheme="majorHAnsi" w:cstheme="majorHAnsi"/>
          <w:b/>
        </w:rPr>
        <w:instrText xml:space="preserve"> SEQ Abbildung \* ARABIC </w:instrText>
      </w:r>
      <w:r w:rsidR="007732EE" w:rsidRPr="00A5344E">
        <w:rPr>
          <w:rFonts w:asciiTheme="majorHAnsi" w:hAnsiTheme="majorHAnsi" w:cstheme="majorHAnsi"/>
          <w:b/>
        </w:rPr>
        <w:fldChar w:fldCharType="separate"/>
      </w:r>
      <w:r w:rsidR="00A513C6" w:rsidRPr="00A5344E">
        <w:rPr>
          <w:rFonts w:asciiTheme="majorHAnsi" w:hAnsiTheme="majorHAnsi" w:cstheme="majorHAnsi"/>
          <w:b/>
        </w:rPr>
        <w:t>10</w:t>
      </w:r>
      <w:r w:rsidR="007732EE" w:rsidRPr="00A5344E">
        <w:rPr>
          <w:rFonts w:asciiTheme="majorHAnsi" w:hAnsiTheme="majorHAnsi" w:cstheme="majorHAnsi"/>
          <w:b/>
        </w:rPr>
        <w:fldChar w:fldCharType="end"/>
      </w:r>
      <w:r>
        <w:rPr>
          <w:rFonts w:asciiTheme="majorHAnsi" w:hAnsiTheme="majorHAnsi"/>
          <w:b/>
        </w:rPr>
        <w:t> :</w:t>
      </w:r>
      <w:r>
        <w:rPr>
          <w:rFonts w:asciiTheme="majorHAnsi" w:hAnsiTheme="majorHAnsi"/>
          <w:b/>
        </w:rPr>
        <w:tab/>
        <w:t>Évolution du produit des impôts communaux ordinaires de 2019 à 2023</w:t>
      </w:r>
    </w:p>
    <w:p w14:paraId="08E67D3F" w14:textId="4E85085B" w:rsidR="001E0DF4" w:rsidRPr="00A5344E" w:rsidRDefault="0063677D" w:rsidP="00751DFF">
      <w:pPr>
        <w:jc w:val="both"/>
        <w:rPr>
          <w:rFonts w:asciiTheme="majorHAnsi" w:hAnsiTheme="majorHAnsi" w:cstheme="majorHAnsi"/>
        </w:rPr>
      </w:pPr>
      <w:r>
        <w:rPr>
          <w:rFonts w:asciiTheme="majorHAnsi" w:hAnsiTheme="majorHAnsi" w:cstheme="majorHAnsi"/>
          <w:noProof/>
        </w:rPr>
        <w:drawing>
          <wp:inline distT="0" distB="0" distL="0" distR="0" wp14:anchorId="609E657F" wp14:editId="37A89C31">
            <wp:extent cx="5261610" cy="2700655"/>
            <wp:effectExtent l="0" t="0" r="0" b="4445"/>
            <wp:docPr id="91474284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1610" cy="2700655"/>
                    </a:xfrm>
                    <a:prstGeom prst="rect">
                      <a:avLst/>
                    </a:prstGeom>
                    <a:noFill/>
                  </pic:spPr>
                </pic:pic>
              </a:graphicData>
            </a:graphic>
          </wp:inline>
        </w:drawing>
      </w:r>
    </w:p>
    <w:p w14:paraId="11C33238" w14:textId="77777777" w:rsidR="009C2190" w:rsidRPr="00A5344E" w:rsidRDefault="009C2190" w:rsidP="001E0DF4">
      <w:pPr>
        <w:rPr>
          <w:rFonts w:asciiTheme="majorHAnsi" w:hAnsiTheme="majorHAnsi" w:cstheme="majorHAnsi"/>
        </w:rPr>
      </w:pPr>
    </w:p>
    <w:p w14:paraId="123EBD46" w14:textId="6A42FE17" w:rsidR="001E0DF4" w:rsidRPr="00A5344E" w:rsidRDefault="001E0DF4" w:rsidP="001E0DF4">
      <w:pPr>
        <w:rPr>
          <w:rFonts w:asciiTheme="majorHAnsi" w:hAnsiTheme="majorHAnsi" w:cstheme="majorHAnsi"/>
        </w:rPr>
      </w:pPr>
      <w:r>
        <w:rPr>
          <w:rFonts w:asciiTheme="majorHAnsi" w:hAnsiTheme="majorHAnsi"/>
        </w:rPr>
        <w:t>Quel a été l’impact de l’augmentation des rentrées fiscales (d’environ CHF 234 millions entre 2019 et 2023) sur les différent</w:t>
      </w:r>
      <w:r w:rsidR="00F3243F">
        <w:rPr>
          <w:rFonts w:asciiTheme="majorHAnsi" w:hAnsiTheme="majorHAnsi"/>
        </w:rPr>
        <w:t>e</w:t>
      </w:r>
      <w:r>
        <w:rPr>
          <w:rFonts w:asciiTheme="majorHAnsi" w:hAnsiTheme="majorHAnsi"/>
        </w:rPr>
        <w:t xml:space="preserve">s </w:t>
      </w:r>
      <w:r w:rsidR="00F3243F">
        <w:rPr>
          <w:rFonts w:asciiTheme="majorHAnsi" w:hAnsiTheme="majorHAnsi"/>
        </w:rPr>
        <w:t>catégories</w:t>
      </w:r>
      <w:r>
        <w:rPr>
          <w:rFonts w:asciiTheme="majorHAnsi" w:hAnsiTheme="majorHAnsi"/>
        </w:rPr>
        <w:t xml:space="preserve"> de communes ?</w:t>
      </w:r>
    </w:p>
    <w:p w14:paraId="1D5860F4" w14:textId="77777777" w:rsidR="001E0DF4" w:rsidRPr="00A5344E" w:rsidRDefault="001E0DF4" w:rsidP="001E0DF4">
      <w:pPr>
        <w:rPr>
          <w:rFonts w:asciiTheme="majorHAnsi" w:hAnsiTheme="majorHAnsi" w:cstheme="majorHAnsi"/>
          <w:highlight w:val="yellow"/>
        </w:rPr>
      </w:pPr>
    </w:p>
    <w:p w14:paraId="0BEFF1E3" w14:textId="6F5033D7" w:rsidR="001E0DF4" w:rsidRPr="00A5344E" w:rsidRDefault="001E0DF4" w:rsidP="001E0DF4">
      <w:pPr>
        <w:rPr>
          <w:rFonts w:asciiTheme="majorHAnsi" w:hAnsiTheme="majorHAnsi" w:cstheme="majorHAnsi"/>
        </w:rPr>
      </w:pPr>
      <w:r>
        <w:rPr>
          <w:rFonts w:asciiTheme="majorHAnsi" w:hAnsiTheme="majorHAnsi"/>
        </w:rPr>
        <w:t>L’</w:t>
      </w:r>
      <w:r w:rsidR="005646C3" w:rsidRPr="0063677D">
        <w:rPr>
          <w:rFonts w:asciiTheme="majorHAnsi" w:hAnsiTheme="majorHAnsi" w:cstheme="majorHAnsi"/>
        </w:rPr>
        <w:fldChar w:fldCharType="begin"/>
      </w:r>
      <w:r w:rsidR="005646C3" w:rsidRPr="0063677D">
        <w:rPr>
          <w:rFonts w:asciiTheme="majorHAnsi" w:hAnsiTheme="majorHAnsi" w:cstheme="majorHAnsi"/>
        </w:rPr>
        <w:instrText xml:space="preserve"> REF _Ref187920089 </w:instrText>
      </w:r>
      <w:r w:rsidR="0063677D" w:rsidRPr="0063677D">
        <w:rPr>
          <w:rFonts w:asciiTheme="majorHAnsi" w:hAnsiTheme="majorHAnsi" w:cstheme="majorHAnsi"/>
        </w:rPr>
        <w:instrText xml:space="preserve">\* Lower </w:instrText>
      </w:r>
      <w:r w:rsidR="0063677D">
        <w:rPr>
          <w:rFonts w:asciiTheme="majorHAnsi" w:hAnsiTheme="majorHAnsi" w:cstheme="majorHAnsi"/>
        </w:rPr>
        <w:instrText>\</w:instrText>
      </w:r>
      <w:r w:rsidR="005646C3" w:rsidRPr="0063677D">
        <w:rPr>
          <w:rFonts w:asciiTheme="majorHAnsi" w:hAnsiTheme="majorHAnsi" w:cstheme="majorHAnsi"/>
        </w:rPr>
        <w:instrText xml:space="preserve">h </w:instrText>
      </w:r>
      <w:r w:rsidR="00AB2901" w:rsidRPr="00AB2901">
        <w:rPr>
          <w:rFonts w:asciiTheme="majorHAnsi" w:hAnsiTheme="majorHAnsi" w:cstheme="majorHAnsi"/>
        </w:rPr>
        <w:instrText xml:space="preserve">\* charformat </w:instrText>
      </w:r>
      <w:r w:rsidR="005646C3" w:rsidRPr="0063677D">
        <w:rPr>
          <w:rFonts w:asciiTheme="majorHAnsi" w:hAnsiTheme="majorHAnsi" w:cstheme="majorHAnsi"/>
        </w:rPr>
      </w:r>
      <w:r w:rsidR="005646C3" w:rsidRPr="0063677D">
        <w:rPr>
          <w:rFonts w:asciiTheme="majorHAnsi" w:hAnsiTheme="majorHAnsi" w:cstheme="majorHAnsi"/>
        </w:rPr>
        <w:fldChar w:fldCharType="separate"/>
      </w:r>
      <w:r w:rsidR="00551742" w:rsidRPr="00551742">
        <w:rPr>
          <w:rFonts w:asciiTheme="majorHAnsi" w:hAnsiTheme="majorHAnsi" w:cstheme="majorHAnsi"/>
        </w:rPr>
        <w:t>illustration 11</w:t>
      </w:r>
      <w:r w:rsidR="005646C3" w:rsidRPr="0063677D">
        <w:rPr>
          <w:rFonts w:asciiTheme="majorHAnsi" w:hAnsiTheme="majorHAnsi" w:cstheme="majorHAnsi"/>
        </w:rPr>
        <w:fldChar w:fldCharType="end"/>
      </w:r>
      <w:r>
        <w:rPr>
          <w:rFonts w:asciiTheme="majorHAnsi" w:hAnsiTheme="majorHAnsi"/>
        </w:rPr>
        <w:t xml:space="preserve"> montre que ce sont les communes dont l’IRH est compris entre 70 et 80 qui ont enregistré la plus forte augmentation de rentrées fiscales, chiffrée à 1,83 dixième de quotité d’impôt. Les communes dont l’IRH est compris entre 80 et 100 sont celles qui ont enregistré la plus faible progression de leurs rentrées fiscales, chiffrée à 1,24 dixième de quotité.</w:t>
      </w:r>
    </w:p>
    <w:p w14:paraId="59F6EBB9" w14:textId="77777777" w:rsidR="005646C3" w:rsidRPr="00A5344E" w:rsidRDefault="005646C3" w:rsidP="001E0DF4">
      <w:pPr>
        <w:rPr>
          <w:rFonts w:asciiTheme="majorHAnsi" w:hAnsiTheme="majorHAnsi" w:cstheme="majorHAnsi"/>
        </w:rPr>
      </w:pPr>
    </w:p>
    <w:p w14:paraId="267DD889" w14:textId="7CB752F2" w:rsidR="005646C3" w:rsidRPr="00A5344E" w:rsidRDefault="005646C3" w:rsidP="005646C3">
      <w:pPr>
        <w:pStyle w:val="Beschriftung"/>
        <w:keepNext/>
        <w:rPr>
          <w:rFonts w:asciiTheme="majorHAnsi" w:hAnsiTheme="majorHAnsi" w:cstheme="majorHAnsi"/>
          <w:b/>
          <w:bCs w:val="0"/>
        </w:rPr>
      </w:pPr>
      <w:bookmarkStart w:id="47" w:name="_Ref187920089"/>
      <w:bookmarkStart w:id="48" w:name="_Hlk188449961"/>
      <w:r>
        <w:rPr>
          <w:rFonts w:asciiTheme="majorHAnsi" w:hAnsiTheme="majorHAnsi"/>
          <w:b/>
        </w:rPr>
        <w:t>Illustration</w:t>
      </w:r>
      <w:r w:rsidR="0063677D">
        <w:rPr>
          <w:rFonts w:asciiTheme="majorHAnsi" w:hAnsiTheme="majorHAnsi"/>
          <w:b/>
        </w:rPr>
        <w:t xml:space="preserve"> </w:t>
      </w:r>
      <w:r w:rsidRPr="00A5344E">
        <w:rPr>
          <w:rFonts w:asciiTheme="majorHAnsi" w:hAnsiTheme="majorHAnsi" w:cstheme="majorHAnsi"/>
          <w:b/>
        </w:rPr>
        <w:fldChar w:fldCharType="begin"/>
      </w:r>
      <w:r w:rsidRPr="00A5344E">
        <w:rPr>
          <w:rFonts w:asciiTheme="majorHAnsi" w:hAnsiTheme="majorHAnsi" w:cstheme="majorHAnsi"/>
          <w:b/>
        </w:rPr>
        <w:instrText xml:space="preserve"> SEQ Abbildung \* ARABIC </w:instrText>
      </w:r>
      <w:r w:rsidRPr="00A5344E">
        <w:rPr>
          <w:rFonts w:asciiTheme="majorHAnsi" w:hAnsiTheme="majorHAnsi" w:cstheme="majorHAnsi"/>
          <w:b/>
        </w:rPr>
        <w:fldChar w:fldCharType="separate"/>
      </w:r>
      <w:r w:rsidR="00A513C6" w:rsidRPr="00A5344E">
        <w:rPr>
          <w:rFonts w:asciiTheme="majorHAnsi" w:hAnsiTheme="majorHAnsi" w:cstheme="majorHAnsi"/>
          <w:b/>
        </w:rPr>
        <w:t>11</w:t>
      </w:r>
      <w:r w:rsidRPr="00A5344E">
        <w:rPr>
          <w:rFonts w:asciiTheme="majorHAnsi" w:hAnsiTheme="majorHAnsi" w:cstheme="majorHAnsi"/>
          <w:b/>
        </w:rPr>
        <w:fldChar w:fldCharType="end"/>
      </w:r>
      <w:bookmarkEnd w:id="47"/>
      <w:r>
        <w:rPr>
          <w:rFonts w:asciiTheme="majorHAnsi" w:hAnsiTheme="majorHAnsi"/>
          <w:b/>
        </w:rPr>
        <w:t> :</w:t>
      </w:r>
      <w:r>
        <w:rPr>
          <w:rFonts w:asciiTheme="majorHAnsi" w:hAnsiTheme="majorHAnsi"/>
          <w:b/>
        </w:rPr>
        <w:tab/>
        <w:t>Augmentation du produit des impôts communaux ordinaires de 2019 à 2023</w:t>
      </w:r>
      <w:r>
        <w:rPr>
          <w:rFonts w:asciiTheme="majorHAnsi" w:hAnsiTheme="majorHAnsi"/>
          <w:b/>
        </w:rPr>
        <w:br/>
      </w:r>
      <w:r>
        <w:rPr>
          <w:rFonts w:asciiTheme="majorHAnsi" w:hAnsiTheme="majorHAnsi"/>
          <w:b/>
        </w:rPr>
        <w:tab/>
      </w:r>
      <w:r>
        <w:rPr>
          <w:rFonts w:asciiTheme="majorHAnsi" w:hAnsiTheme="majorHAnsi"/>
          <w:b/>
        </w:rPr>
        <w:tab/>
        <w:t>Classement des communes par leur IRH en 2023</w:t>
      </w:r>
    </w:p>
    <w:tbl>
      <w:tblPr>
        <w:tblStyle w:val="Ecoplankombi"/>
        <w:tblW w:w="4963" w:type="pct"/>
        <w:tblLayout w:type="fixed"/>
        <w:tblLook w:val="04A0" w:firstRow="1" w:lastRow="0" w:firstColumn="1" w:lastColumn="0" w:noHBand="0" w:noVBand="1"/>
      </w:tblPr>
      <w:tblGrid>
        <w:gridCol w:w="3356"/>
        <w:gridCol w:w="979"/>
        <w:gridCol w:w="1012"/>
        <w:gridCol w:w="1010"/>
        <w:gridCol w:w="1107"/>
        <w:gridCol w:w="1182"/>
        <w:gridCol w:w="1119"/>
      </w:tblGrid>
      <w:tr w:rsidR="00F3243F" w:rsidRPr="00A5344E" w14:paraId="5C5F7994" w14:textId="77777777" w:rsidTr="00F3243F">
        <w:trPr>
          <w:cnfStyle w:val="100000000000" w:firstRow="1" w:lastRow="0" w:firstColumn="0" w:lastColumn="0" w:oddVBand="0" w:evenVBand="0" w:oddHBand="0" w:evenHBand="0" w:firstRowFirstColumn="0" w:firstRowLastColumn="0" w:lastRowFirstColumn="0" w:lastRowLastColumn="0"/>
          <w:trHeight w:val="330"/>
        </w:trPr>
        <w:tc>
          <w:tcPr>
            <w:tcW w:w="1718" w:type="pct"/>
            <w:noWrap/>
          </w:tcPr>
          <w:bookmarkEnd w:id="48"/>
          <w:p w14:paraId="09C9433B" w14:textId="54482A45" w:rsidR="005646C3" w:rsidRPr="00A5344E" w:rsidRDefault="005646C3" w:rsidP="005646C3">
            <w:pPr>
              <w:pStyle w:val="Tabellentext"/>
              <w:rPr>
                <w:rFonts w:asciiTheme="majorHAnsi" w:hAnsiTheme="majorHAnsi" w:cstheme="majorHAnsi"/>
                <w:b/>
                <w:bCs/>
              </w:rPr>
            </w:pPr>
            <w:r>
              <w:rPr>
                <w:rFonts w:asciiTheme="majorHAnsi" w:hAnsiTheme="majorHAnsi"/>
                <w:b/>
              </w:rPr>
              <w:t>Rubrique / catégorie d’IRH</w:t>
            </w:r>
          </w:p>
        </w:tc>
        <w:tc>
          <w:tcPr>
            <w:tcW w:w="501" w:type="pct"/>
            <w:noWrap/>
          </w:tcPr>
          <w:p w14:paraId="0924EA88" w14:textId="5D5C5CF9" w:rsidR="005646C3" w:rsidRPr="00A5344E" w:rsidRDefault="005646C3" w:rsidP="005646C3">
            <w:pPr>
              <w:pStyle w:val="Tabellentext"/>
              <w:jc w:val="right"/>
              <w:rPr>
                <w:rFonts w:asciiTheme="majorHAnsi" w:hAnsiTheme="majorHAnsi" w:cstheme="majorHAnsi"/>
                <w:b/>
                <w:bCs/>
              </w:rPr>
            </w:pPr>
            <w:r>
              <w:rPr>
                <w:rFonts w:asciiTheme="majorHAnsi" w:hAnsiTheme="majorHAnsi"/>
                <w:b/>
              </w:rPr>
              <w:t>&lt; 60</w:t>
            </w:r>
          </w:p>
        </w:tc>
        <w:tc>
          <w:tcPr>
            <w:tcW w:w="518" w:type="pct"/>
            <w:noWrap/>
          </w:tcPr>
          <w:p w14:paraId="68460A71" w14:textId="423AAA90" w:rsidR="005646C3" w:rsidRPr="00A5344E" w:rsidRDefault="005646C3" w:rsidP="005646C3">
            <w:pPr>
              <w:pStyle w:val="Tabellentext"/>
              <w:jc w:val="right"/>
              <w:rPr>
                <w:rFonts w:asciiTheme="majorHAnsi" w:hAnsiTheme="majorHAnsi" w:cstheme="majorHAnsi"/>
                <w:b/>
                <w:bCs/>
              </w:rPr>
            </w:pPr>
            <w:r>
              <w:rPr>
                <w:rFonts w:asciiTheme="majorHAnsi" w:hAnsiTheme="majorHAnsi"/>
                <w:b/>
              </w:rPr>
              <w:t xml:space="preserve">&gt; 60 et </w:t>
            </w:r>
            <w:r w:rsidR="00F3243F">
              <w:rPr>
                <w:rFonts w:asciiTheme="majorHAnsi" w:hAnsiTheme="majorHAnsi"/>
                <w:b/>
              </w:rPr>
              <w:br/>
            </w:r>
            <w:r>
              <w:rPr>
                <w:rFonts w:asciiTheme="majorHAnsi" w:hAnsiTheme="majorHAnsi"/>
                <w:b/>
              </w:rPr>
              <w:t>&lt; 70</w:t>
            </w:r>
          </w:p>
        </w:tc>
        <w:tc>
          <w:tcPr>
            <w:tcW w:w="517" w:type="pct"/>
            <w:noWrap/>
          </w:tcPr>
          <w:p w14:paraId="620B833D" w14:textId="4E3CC524" w:rsidR="005646C3" w:rsidRPr="00A5344E" w:rsidRDefault="005646C3" w:rsidP="005646C3">
            <w:pPr>
              <w:pStyle w:val="Tabellentext"/>
              <w:jc w:val="right"/>
              <w:rPr>
                <w:rFonts w:asciiTheme="majorHAnsi" w:hAnsiTheme="majorHAnsi" w:cstheme="majorHAnsi"/>
                <w:b/>
                <w:bCs/>
              </w:rPr>
            </w:pPr>
            <w:r>
              <w:rPr>
                <w:rFonts w:asciiTheme="majorHAnsi" w:hAnsiTheme="majorHAnsi"/>
                <w:b/>
              </w:rPr>
              <w:t xml:space="preserve">&gt; 70 et </w:t>
            </w:r>
            <w:r w:rsidR="00F3243F">
              <w:rPr>
                <w:rFonts w:asciiTheme="majorHAnsi" w:hAnsiTheme="majorHAnsi"/>
                <w:b/>
              </w:rPr>
              <w:br/>
            </w:r>
            <w:r>
              <w:rPr>
                <w:rFonts w:asciiTheme="majorHAnsi" w:hAnsiTheme="majorHAnsi"/>
                <w:b/>
              </w:rPr>
              <w:t>&lt; 80</w:t>
            </w:r>
          </w:p>
        </w:tc>
        <w:tc>
          <w:tcPr>
            <w:tcW w:w="567" w:type="pct"/>
            <w:noWrap/>
          </w:tcPr>
          <w:p w14:paraId="6EB6B477" w14:textId="14EEC649" w:rsidR="005646C3" w:rsidRPr="00A5344E" w:rsidRDefault="005646C3" w:rsidP="005646C3">
            <w:pPr>
              <w:pStyle w:val="Tabellentext"/>
              <w:jc w:val="right"/>
              <w:rPr>
                <w:rFonts w:asciiTheme="majorHAnsi" w:hAnsiTheme="majorHAnsi" w:cstheme="majorHAnsi"/>
                <w:b/>
                <w:bCs/>
              </w:rPr>
            </w:pPr>
            <w:r>
              <w:rPr>
                <w:rFonts w:asciiTheme="majorHAnsi" w:hAnsiTheme="majorHAnsi"/>
                <w:b/>
              </w:rPr>
              <w:t xml:space="preserve">&gt; 80 et </w:t>
            </w:r>
            <w:r w:rsidR="00F3243F">
              <w:rPr>
                <w:rFonts w:asciiTheme="majorHAnsi" w:hAnsiTheme="majorHAnsi"/>
                <w:b/>
              </w:rPr>
              <w:br/>
            </w:r>
            <w:r>
              <w:rPr>
                <w:rFonts w:asciiTheme="majorHAnsi" w:hAnsiTheme="majorHAnsi"/>
                <w:b/>
              </w:rPr>
              <w:t>&lt; 100</w:t>
            </w:r>
          </w:p>
        </w:tc>
        <w:tc>
          <w:tcPr>
            <w:tcW w:w="605" w:type="pct"/>
            <w:noWrap/>
          </w:tcPr>
          <w:p w14:paraId="72363C5A" w14:textId="368FC826" w:rsidR="005646C3" w:rsidRPr="00A5344E" w:rsidRDefault="005646C3" w:rsidP="005646C3">
            <w:pPr>
              <w:pStyle w:val="Tabellentext"/>
              <w:jc w:val="right"/>
              <w:rPr>
                <w:rFonts w:asciiTheme="majorHAnsi" w:hAnsiTheme="majorHAnsi" w:cstheme="majorHAnsi"/>
                <w:b/>
                <w:bCs/>
              </w:rPr>
            </w:pPr>
            <w:r>
              <w:rPr>
                <w:rFonts w:asciiTheme="majorHAnsi" w:hAnsiTheme="majorHAnsi"/>
                <w:b/>
              </w:rPr>
              <w:t>&gt; 100</w:t>
            </w:r>
          </w:p>
        </w:tc>
        <w:tc>
          <w:tcPr>
            <w:tcW w:w="573" w:type="pct"/>
          </w:tcPr>
          <w:p w14:paraId="25B6441B" w14:textId="68970106" w:rsidR="005646C3" w:rsidRPr="00A5344E" w:rsidRDefault="005646C3" w:rsidP="005646C3">
            <w:pPr>
              <w:pStyle w:val="Tabellentext"/>
              <w:jc w:val="right"/>
              <w:rPr>
                <w:rFonts w:asciiTheme="majorHAnsi" w:hAnsiTheme="majorHAnsi" w:cstheme="majorHAnsi"/>
                <w:b/>
                <w:bCs/>
              </w:rPr>
            </w:pPr>
            <w:r>
              <w:rPr>
                <w:rFonts w:asciiTheme="majorHAnsi" w:hAnsiTheme="majorHAnsi"/>
                <w:b/>
              </w:rPr>
              <w:t>Total</w:t>
            </w:r>
          </w:p>
        </w:tc>
      </w:tr>
      <w:tr w:rsidR="005646C3" w:rsidRPr="00A5344E" w14:paraId="79344459" w14:textId="77777777" w:rsidTr="00F3243F">
        <w:trPr>
          <w:cnfStyle w:val="000000100000" w:firstRow="0" w:lastRow="0" w:firstColumn="0" w:lastColumn="0" w:oddVBand="0" w:evenVBand="0" w:oddHBand="1" w:evenHBand="0" w:firstRowFirstColumn="0" w:firstRowLastColumn="0" w:lastRowFirstColumn="0" w:lastRowLastColumn="0"/>
          <w:trHeight w:val="330"/>
        </w:trPr>
        <w:tc>
          <w:tcPr>
            <w:tcW w:w="1718" w:type="pct"/>
            <w:noWrap/>
          </w:tcPr>
          <w:p w14:paraId="55C7FE54" w14:textId="276CC492" w:rsidR="005646C3" w:rsidRPr="00A5344E" w:rsidRDefault="005646C3" w:rsidP="005646C3">
            <w:pPr>
              <w:pStyle w:val="Tabellentext"/>
              <w:rPr>
                <w:rFonts w:asciiTheme="majorHAnsi" w:hAnsiTheme="majorHAnsi" w:cstheme="majorHAnsi"/>
                <w:b/>
                <w:bCs/>
              </w:rPr>
            </w:pPr>
            <w:r>
              <w:rPr>
                <w:rFonts w:asciiTheme="majorHAnsi" w:hAnsiTheme="majorHAnsi"/>
              </w:rPr>
              <w:t>Augmentation totale</w:t>
            </w:r>
          </w:p>
        </w:tc>
        <w:tc>
          <w:tcPr>
            <w:tcW w:w="501" w:type="pct"/>
            <w:noWrap/>
          </w:tcPr>
          <w:p w14:paraId="7474B501" w14:textId="4CFF5920" w:rsidR="005646C3" w:rsidRPr="00A5344E" w:rsidRDefault="005646C3" w:rsidP="005646C3">
            <w:pPr>
              <w:pStyle w:val="Tabellentext"/>
              <w:jc w:val="right"/>
              <w:rPr>
                <w:rFonts w:asciiTheme="majorHAnsi" w:hAnsiTheme="majorHAnsi" w:cstheme="majorHAnsi"/>
              </w:rPr>
            </w:pPr>
            <w:r>
              <w:rPr>
                <w:rFonts w:asciiTheme="majorHAnsi" w:hAnsiTheme="majorHAnsi"/>
              </w:rPr>
              <w:t>2 981 965</w:t>
            </w:r>
          </w:p>
        </w:tc>
        <w:tc>
          <w:tcPr>
            <w:tcW w:w="518" w:type="pct"/>
            <w:noWrap/>
          </w:tcPr>
          <w:p w14:paraId="3C50D50F" w14:textId="6D20D0F4" w:rsidR="005646C3" w:rsidRPr="00A5344E" w:rsidRDefault="005646C3" w:rsidP="005646C3">
            <w:pPr>
              <w:pStyle w:val="Tabellentext"/>
              <w:jc w:val="right"/>
              <w:rPr>
                <w:rFonts w:asciiTheme="majorHAnsi" w:hAnsiTheme="majorHAnsi" w:cstheme="majorHAnsi"/>
              </w:rPr>
            </w:pPr>
            <w:r>
              <w:rPr>
                <w:rFonts w:asciiTheme="majorHAnsi" w:hAnsiTheme="majorHAnsi"/>
              </w:rPr>
              <w:t>9 146 591</w:t>
            </w:r>
          </w:p>
        </w:tc>
        <w:tc>
          <w:tcPr>
            <w:tcW w:w="517" w:type="pct"/>
            <w:noWrap/>
          </w:tcPr>
          <w:p w14:paraId="040A774C" w14:textId="6FB3D248" w:rsidR="005646C3" w:rsidRPr="00A5344E" w:rsidRDefault="005646C3" w:rsidP="005646C3">
            <w:pPr>
              <w:pStyle w:val="Tabellentext"/>
              <w:jc w:val="right"/>
              <w:rPr>
                <w:rFonts w:asciiTheme="majorHAnsi" w:hAnsiTheme="majorHAnsi" w:cstheme="majorHAnsi"/>
              </w:rPr>
            </w:pPr>
            <w:r>
              <w:rPr>
                <w:rFonts w:asciiTheme="majorHAnsi" w:hAnsiTheme="majorHAnsi"/>
              </w:rPr>
              <w:t>35 241 779</w:t>
            </w:r>
          </w:p>
        </w:tc>
        <w:tc>
          <w:tcPr>
            <w:tcW w:w="567" w:type="pct"/>
            <w:noWrap/>
          </w:tcPr>
          <w:p w14:paraId="208F3FBB" w14:textId="1E51069E" w:rsidR="005646C3" w:rsidRPr="00A5344E" w:rsidRDefault="005646C3" w:rsidP="005646C3">
            <w:pPr>
              <w:pStyle w:val="Tabellentext"/>
              <w:jc w:val="right"/>
              <w:rPr>
                <w:rFonts w:asciiTheme="majorHAnsi" w:hAnsiTheme="majorHAnsi" w:cstheme="majorHAnsi"/>
              </w:rPr>
            </w:pPr>
            <w:r>
              <w:rPr>
                <w:rFonts w:asciiTheme="majorHAnsi" w:hAnsiTheme="majorHAnsi"/>
              </w:rPr>
              <w:t>78 766 384</w:t>
            </w:r>
          </w:p>
        </w:tc>
        <w:tc>
          <w:tcPr>
            <w:tcW w:w="605" w:type="pct"/>
            <w:noWrap/>
          </w:tcPr>
          <w:p w14:paraId="328CA75A" w14:textId="796B799E" w:rsidR="005646C3" w:rsidRPr="00A5344E" w:rsidRDefault="005646C3" w:rsidP="005646C3">
            <w:pPr>
              <w:pStyle w:val="Tabellentext"/>
              <w:jc w:val="right"/>
              <w:rPr>
                <w:rFonts w:asciiTheme="majorHAnsi" w:hAnsiTheme="majorHAnsi" w:cstheme="majorHAnsi"/>
              </w:rPr>
            </w:pPr>
            <w:r>
              <w:rPr>
                <w:rFonts w:asciiTheme="majorHAnsi" w:hAnsiTheme="majorHAnsi"/>
              </w:rPr>
              <w:t>108 193 771</w:t>
            </w:r>
          </w:p>
        </w:tc>
        <w:tc>
          <w:tcPr>
            <w:tcW w:w="573" w:type="pct"/>
          </w:tcPr>
          <w:p w14:paraId="58FCE6EF" w14:textId="5D32273F" w:rsidR="005646C3" w:rsidRPr="00A5344E" w:rsidRDefault="005646C3" w:rsidP="005646C3">
            <w:pPr>
              <w:pStyle w:val="Tabellentext"/>
              <w:jc w:val="right"/>
              <w:rPr>
                <w:rFonts w:asciiTheme="majorHAnsi" w:hAnsiTheme="majorHAnsi" w:cstheme="majorHAnsi"/>
              </w:rPr>
            </w:pPr>
            <w:r>
              <w:rPr>
                <w:rFonts w:asciiTheme="majorHAnsi" w:hAnsiTheme="majorHAnsi"/>
              </w:rPr>
              <w:t>234 330 490</w:t>
            </w:r>
          </w:p>
        </w:tc>
      </w:tr>
      <w:tr w:rsidR="005646C3" w:rsidRPr="00A5344E" w14:paraId="4F91601C" w14:textId="77777777" w:rsidTr="00F3243F">
        <w:trPr>
          <w:cnfStyle w:val="000000010000" w:firstRow="0" w:lastRow="0" w:firstColumn="0" w:lastColumn="0" w:oddVBand="0" w:evenVBand="0" w:oddHBand="0" w:evenHBand="1" w:firstRowFirstColumn="0" w:firstRowLastColumn="0" w:lastRowFirstColumn="0" w:lastRowLastColumn="0"/>
          <w:trHeight w:val="330"/>
        </w:trPr>
        <w:tc>
          <w:tcPr>
            <w:tcW w:w="1718" w:type="pct"/>
            <w:noWrap/>
          </w:tcPr>
          <w:p w14:paraId="652F0F41" w14:textId="10B7AF3D" w:rsidR="005646C3" w:rsidRPr="00A5344E" w:rsidRDefault="005646C3" w:rsidP="005646C3">
            <w:pPr>
              <w:pStyle w:val="Tabellentext"/>
              <w:rPr>
                <w:rFonts w:asciiTheme="majorHAnsi" w:hAnsiTheme="majorHAnsi" w:cstheme="majorHAnsi"/>
                <w:b/>
                <w:bCs/>
              </w:rPr>
            </w:pPr>
            <w:r>
              <w:rPr>
                <w:rFonts w:asciiTheme="majorHAnsi" w:hAnsiTheme="majorHAnsi"/>
              </w:rPr>
              <w:t>Augmentation en dixièmes de quotité d’impôt</w:t>
            </w:r>
          </w:p>
        </w:tc>
        <w:tc>
          <w:tcPr>
            <w:tcW w:w="501" w:type="pct"/>
            <w:noWrap/>
          </w:tcPr>
          <w:p w14:paraId="59691371" w14:textId="0F493CA6" w:rsidR="005646C3" w:rsidRPr="00A5344E" w:rsidRDefault="005646C3" w:rsidP="005646C3">
            <w:pPr>
              <w:pStyle w:val="Tabellentext"/>
              <w:jc w:val="right"/>
              <w:rPr>
                <w:rFonts w:asciiTheme="majorHAnsi" w:hAnsiTheme="majorHAnsi" w:cstheme="majorHAnsi"/>
              </w:rPr>
            </w:pPr>
            <w:r>
              <w:rPr>
                <w:rFonts w:asciiTheme="majorHAnsi" w:hAnsiTheme="majorHAnsi"/>
              </w:rPr>
              <w:t>1,48</w:t>
            </w:r>
          </w:p>
        </w:tc>
        <w:tc>
          <w:tcPr>
            <w:tcW w:w="518" w:type="pct"/>
            <w:noWrap/>
          </w:tcPr>
          <w:p w14:paraId="2F1BC64B" w14:textId="61B72A18" w:rsidR="005646C3" w:rsidRPr="00A5344E" w:rsidRDefault="005646C3" w:rsidP="005646C3">
            <w:pPr>
              <w:pStyle w:val="Tabellentext"/>
              <w:jc w:val="right"/>
              <w:rPr>
                <w:rFonts w:asciiTheme="majorHAnsi" w:hAnsiTheme="majorHAnsi" w:cstheme="majorHAnsi"/>
              </w:rPr>
            </w:pPr>
            <w:r>
              <w:rPr>
                <w:rFonts w:asciiTheme="majorHAnsi" w:hAnsiTheme="majorHAnsi"/>
              </w:rPr>
              <w:t>1,62</w:t>
            </w:r>
          </w:p>
        </w:tc>
        <w:tc>
          <w:tcPr>
            <w:tcW w:w="517" w:type="pct"/>
            <w:noWrap/>
          </w:tcPr>
          <w:p w14:paraId="579308D5" w14:textId="2B972F94" w:rsidR="005646C3" w:rsidRPr="00A5344E" w:rsidRDefault="005646C3" w:rsidP="005646C3">
            <w:pPr>
              <w:pStyle w:val="Tabellentext"/>
              <w:jc w:val="right"/>
              <w:rPr>
                <w:rFonts w:asciiTheme="majorHAnsi" w:hAnsiTheme="majorHAnsi" w:cstheme="majorHAnsi"/>
              </w:rPr>
            </w:pPr>
            <w:r>
              <w:rPr>
                <w:rFonts w:asciiTheme="majorHAnsi" w:hAnsiTheme="majorHAnsi"/>
              </w:rPr>
              <w:t>1,83</w:t>
            </w:r>
          </w:p>
        </w:tc>
        <w:tc>
          <w:tcPr>
            <w:tcW w:w="567" w:type="pct"/>
            <w:noWrap/>
          </w:tcPr>
          <w:p w14:paraId="3EC6A833" w14:textId="0E8009D3" w:rsidR="005646C3" w:rsidRPr="00A5344E" w:rsidRDefault="005646C3" w:rsidP="005646C3">
            <w:pPr>
              <w:pStyle w:val="Tabellentext"/>
              <w:jc w:val="right"/>
              <w:rPr>
                <w:rFonts w:asciiTheme="majorHAnsi" w:hAnsiTheme="majorHAnsi" w:cstheme="majorHAnsi"/>
              </w:rPr>
            </w:pPr>
            <w:r>
              <w:rPr>
                <w:rFonts w:asciiTheme="majorHAnsi" w:hAnsiTheme="majorHAnsi"/>
              </w:rPr>
              <w:t>1,24</w:t>
            </w:r>
          </w:p>
        </w:tc>
        <w:tc>
          <w:tcPr>
            <w:tcW w:w="605" w:type="pct"/>
            <w:noWrap/>
          </w:tcPr>
          <w:p w14:paraId="662F77AE" w14:textId="30D6A3E4" w:rsidR="005646C3" w:rsidRPr="00A5344E" w:rsidRDefault="005646C3" w:rsidP="005646C3">
            <w:pPr>
              <w:pStyle w:val="Tabellentext"/>
              <w:jc w:val="right"/>
              <w:rPr>
                <w:rFonts w:asciiTheme="majorHAnsi" w:hAnsiTheme="majorHAnsi" w:cstheme="majorHAnsi"/>
              </w:rPr>
            </w:pPr>
            <w:r>
              <w:rPr>
                <w:rFonts w:asciiTheme="majorHAnsi" w:hAnsiTheme="majorHAnsi"/>
              </w:rPr>
              <w:t>1,36</w:t>
            </w:r>
          </w:p>
        </w:tc>
        <w:tc>
          <w:tcPr>
            <w:tcW w:w="573" w:type="pct"/>
          </w:tcPr>
          <w:p w14:paraId="460F2F2B" w14:textId="6042D137" w:rsidR="005646C3" w:rsidRPr="00A5344E" w:rsidRDefault="005646C3" w:rsidP="005646C3">
            <w:pPr>
              <w:pStyle w:val="Tabellentext"/>
              <w:jc w:val="right"/>
              <w:rPr>
                <w:rFonts w:asciiTheme="majorHAnsi" w:hAnsiTheme="majorHAnsi" w:cstheme="majorHAnsi"/>
              </w:rPr>
            </w:pPr>
            <w:r>
              <w:rPr>
                <w:rFonts w:asciiTheme="majorHAnsi" w:hAnsiTheme="majorHAnsi"/>
              </w:rPr>
              <w:t>1,38</w:t>
            </w:r>
          </w:p>
        </w:tc>
      </w:tr>
      <w:tr w:rsidR="005646C3" w:rsidRPr="00A5344E" w14:paraId="592C7C30" w14:textId="77777777" w:rsidTr="00F3243F">
        <w:trPr>
          <w:cnfStyle w:val="000000100000" w:firstRow="0" w:lastRow="0" w:firstColumn="0" w:lastColumn="0" w:oddVBand="0" w:evenVBand="0" w:oddHBand="1" w:evenHBand="0" w:firstRowFirstColumn="0" w:firstRowLastColumn="0" w:lastRowFirstColumn="0" w:lastRowLastColumn="0"/>
          <w:trHeight w:val="330"/>
        </w:trPr>
        <w:tc>
          <w:tcPr>
            <w:tcW w:w="1718" w:type="pct"/>
            <w:noWrap/>
          </w:tcPr>
          <w:p w14:paraId="1720E3B2" w14:textId="11D6C5C3" w:rsidR="005646C3" w:rsidRPr="00A5344E" w:rsidRDefault="005646C3" w:rsidP="005646C3">
            <w:pPr>
              <w:pStyle w:val="Tabellentext"/>
              <w:rPr>
                <w:rFonts w:asciiTheme="majorHAnsi" w:hAnsiTheme="majorHAnsi" w:cstheme="majorHAnsi"/>
                <w:b/>
                <w:bCs/>
              </w:rPr>
            </w:pPr>
            <w:r>
              <w:rPr>
                <w:rFonts w:asciiTheme="majorHAnsi" w:hAnsiTheme="majorHAnsi"/>
              </w:rPr>
              <w:t>Nombre de communes</w:t>
            </w:r>
          </w:p>
        </w:tc>
        <w:tc>
          <w:tcPr>
            <w:tcW w:w="501" w:type="pct"/>
            <w:noWrap/>
          </w:tcPr>
          <w:p w14:paraId="63CBEF1D" w14:textId="6EA33430" w:rsidR="005646C3" w:rsidRPr="00A5344E" w:rsidRDefault="005646C3" w:rsidP="005646C3">
            <w:pPr>
              <w:pStyle w:val="Tabellentext"/>
              <w:jc w:val="right"/>
              <w:rPr>
                <w:rFonts w:asciiTheme="majorHAnsi" w:hAnsiTheme="majorHAnsi" w:cstheme="majorHAnsi"/>
              </w:rPr>
            </w:pPr>
            <w:r>
              <w:rPr>
                <w:rFonts w:asciiTheme="majorHAnsi" w:hAnsiTheme="majorHAnsi"/>
              </w:rPr>
              <w:t>33</w:t>
            </w:r>
          </w:p>
        </w:tc>
        <w:tc>
          <w:tcPr>
            <w:tcW w:w="518" w:type="pct"/>
            <w:noWrap/>
          </w:tcPr>
          <w:p w14:paraId="21A1285E" w14:textId="14387525" w:rsidR="005646C3" w:rsidRPr="00A5344E" w:rsidRDefault="005646C3" w:rsidP="005646C3">
            <w:pPr>
              <w:pStyle w:val="Tabellentext"/>
              <w:jc w:val="right"/>
              <w:rPr>
                <w:rFonts w:asciiTheme="majorHAnsi" w:hAnsiTheme="majorHAnsi" w:cstheme="majorHAnsi"/>
              </w:rPr>
            </w:pPr>
            <w:r>
              <w:rPr>
                <w:rFonts w:asciiTheme="majorHAnsi" w:hAnsiTheme="majorHAnsi"/>
              </w:rPr>
              <w:t>44</w:t>
            </w:r>
          </w:p>
        </w:tc>
        <w:tc>
          <w:tcPr>
            <w:tcW w:w="517" w:type="pct"/>
            <w:noWrap/>
          </w:tcPr>
          <w:p w14:paraId="3E966927" w14:textId="000CC84C" w:rsidR="005646C3" w:rsidRPr="00A5344E" w:rsidRDefault="005646C3" w:rsidP="005646C3">
            <w:pPr>
              <w:pStyle w:val="Tabellentext"/>
              <w:jc w:val="right"/>
              <w:rPr>
                <w:rFonts w:asciiTheme="majorHAnsi" w:hAnsiTheme="majorHAnsi" w:cstheme="majorHAnsi"/>
              </w:rPr>
            </w:pPr>
            <w:r>
              <w:rPr>
                <w:rFonts w:asciiTheme="majorHAnsi" w:hAnsiTheme="majorHAnsi"/>
              </w:rPr>
              <w:t>80</w:t>
            </w:r>
          </w:p>
        </w:tc>
        <w:tc>
          <w:tcPr>
            <w:tcW w:w="567" w:type="pct"/>
            <w:noWrap/>
          </w:tcPr>
          <w:p w14:paraId="2B4CD031" w14:textId="3730A913" w:rsidR="005646C3" w:rsidRPr="00A5344E" w:rsidRDefault="005646C3" w:rsidP="005646C3">
            <w:pPr>
              <w:pStyle w:val="Tabellentext"/>
              <w:jc w:val="right"/>
              <w:rPr>
                <w:rFonts w:asciiTheme="majorHAnsi" w:hAnsiTheme="majorHAnsi" w:cstheme="majorHAnsi"/>
              </w:rPr>
            </w:pPr>
            <w:r>
              <w:rPr>
                <w:rFonts w:asciiTheme="majorHAnsi" w:hAnsiTheme="majorHAnsi"/>
              </w:rPr>
              <w:t>110</w:t>
            </w:r>
          </w:p>
        </w:tc>
        <w:tc>
          <w:tcPr>
            <w:tcW w:w="605" w:type="pct"/>
            <w:noWrap/>
          </w:tcPr>
          <w:p w14:paraId="3CDBA52B" w14:textId="1963AA44" w:rsidR="005646C3" w:rsidRPr="00A5344E" w:rsidRDefault="005646C3" w:rsidP="005646C3">
            <w:pPr>
              <w:pStyle w:val="Tabellentext"/>
              <w:jc w:val="right"/>
              <w:rPr>
                <w:rFonts w:asciiTheme="majorHAnsi" w:hAnsiTheme="majorHAnsi" w:cstheme="majorHAnsi"/>
              </w:rPr>
            </w:pPr>
            <w:r>
              <w:rPr>
                <w:rFonts w:asciiTheme="majorHAnsi" w:hAnsiTheme="majorHAnsi"/>
              </w:rPr>
              <w:t>70</w:t>
            </w:r>
          </w:p>
        </w:tc>
        <w:tc>
          <w:tcPr>
            <w:tcW w:w="573" w:type="pct"/>
          </w:tcPr>
          <w:p w14:paraId="515C3365" w14:textId="31DC85F0" w:rsidR="005646C3" w:rsidRPr="00A5344E" w:rsidRDefault="005646C3" w:rsidP="005646C3">
            <w:pPr>
              <w:pStyle w:val="Tabellentext"/>
              <w:jc w:val="right"/>
              <w:rPr>
                <w:rFonts w:asciiTheme="majorHAnsi" w:hAnsiTheme="majorHAnsi" w:cstheme="majorHAnsi"/>
              </w:rPr>
            </w:pPr>
            <w:r>
              <w:rPr>
                <w:rFonts w:asciiTheme="majorHAnsi" w:hAnsiTheme="majorHAnsi"/>
              </w:rPr>
              <w:t>337</w:t>
            </w:r>
          </w:p>
        </w:tc>
      </w:tr>
      <w:tr w:rsidR="005646C3" w:rsidRPr="00A5344E" w14:paraId="70BC44C4" w14:textId="77777777" w:rsidTr="00F3243F">
        <w:trPr>
          <w:cnfStyle w:val="000000010000" w:firstRow="0" w:lastRow="0" w:firstColumn="0" w:lastColumn="0" w:oddVBand="0" w:evenVBand="0" w:oddHBand="0" w:evenHBand="1" w:firstRowFirstColumn="0" w:firstRowLastColumn="0" w:lastRowFirstColumn="0" w:lastRowLastColumn="0"/>
          <w:trHeight w:val="330"/>
        </w:trPr>
        <w:tc>
          <w:tcPr>
            <w:tcW w:w="1718" w:type="pct"/>
            <w:noWrap/>
          </w:tcPr>
          <w:p w14:paraId="1AA516C1" w14:textId="55FAF736" w:rsidR="005646C3" w:rsidRPr="00A5344E" w:rsidRDefault="005646C3" w:rsidP="005646C3">
            <w:pPr>
              <w:pStyle w:val="Tabellentext"/>
              <w:rPr>
                <w:rFonts w:asciiTheme="majorHAnsi" w:hAnsiTheme="majorHAnsi" w:cstheme="majorHAnsi"/>
                <w:b/>
                <w:bCs/>
              </w:rPr>
            </w:pPr>
            <w:r>
              <w:rPr>
                <w:rFonts w:asciiTheme="majorHAnsi" w:hAnsiTheme="majorHAnsi"/>
              </w:rPr>
              <w:t>Nombre d’habitantes et habitants</w:t>
            </w:r>
          </w:p>
        </w:tc>
        <w:tc>
          <w:tcPr>
            <w:tcW w:w="501" w:type="pct"/>
            <w:noWrap/>
          </w:tcPr>
          <w:p w14:paraId="4A66B15F" w14:textId="65FDA810" w:rsidR="005646C3" w:rsidRPr="00A5344E" w:rsidRDefault="005646C3" w:rsidP="005646C3">
            <w:pPr>
              <w:pStyle w:val="Tabellentext"/>
              <w:jc w:val="right"/>
              <w:rPr>
                <w:rFonts w:asciiTheme="majorHAnsi" w:hAnsiTheme="majorHAnsi" w:cstheme="majorHAnsi"/>
              </w:rPr>
            </w:pPr>
            <w:r>
              <w:rPr>
                <w:rFonts w:asciiTheme="majorHAnsi" w:hAnsiTheme="majorHAnsi"/>
              </w:rPr>
              <w:t>23 502</w:t>
            </w:r>
          </w:p>
        </w:tc>
        <w:tc>
          <w:tcPr>
            <w:tcW w:w="518" w:type="pct"/>
            <w:noWrap/>
          </w:tcPr>
          <w:p w14:paraId="60AF5962" w14:textId="687372B6" w:rsidR="005646C3" w:rsidRPr="00A5344E" w:rsidRDefault="005646C3" w:rsidP="005646C3">
            <w:pPr>
              <w:pStyle w:val="Tabellentext"/>
              <w:jc w:val="right"/>
              <w:rPr>
                <w:rFonts w:asciiTheme="majorHAnsi" w:hAnsiTheme="majorHAnsi" w:cstheme="majorHAnsi"/>
              </w:rPr>
            </w:pPr>
            <w:r>
              <w:rPr>
                <w:rFonts w:asciiTheme="majorHAnsi" w:hAnsiTheme="majorHAnsi"/>
              </w:rPr>
              <w:t>54 294</w:t>
            </w:r>
          </w:p>
        </w:tc>
        <w:tc>
          <w:tcPr>
            <w:tcW w:w="517" w:type="pct"/>
            <w:noWrap/>
          </w:tcPr>
          <w:p w14:paraId="4204F691" w14:textId="3C9CE61A" w:rsidR="005646C3" w:rsidRPr="00A5344E" w:rsidRDefault="005646C3" w:rsidP="005646C3">
            <w:pPr>
              <w:pStyle w:val="Tabellentext"/>
              <w:jc w:val="right"/>
              <w:rPr>
                <w:rFonts w:asciiTheme="majorHAnsi" w:hAnsiTheme="majorHAnsi" w:cstheme="majorHAnsi"/>
              </w:rPr>
            </w:pPr>
            <w:r>
              <w:rPr>
                <w:rFonts w:asciiTheme="majorHAnsi" w:hAnsiTheme="majorHAnsi"/>
              </w:rPr>
              <w:t>159 820</w:t>
            </w:r>
          </w:p>
        </w:tc>
        <w:tc>
          <w:tcPr>
            <w:tcW w:w="567" w:type="pct"/>
            <w:noWrap/>
          </w:tcPr>
          <w:p w14:paraId="5373FD14" w14:textId="7432336E" w:rsidR="005646C3" w:rsidRPr="00A5344E" w:rsidRDefault="005646C3" w:rsidP="005646C3">
            <w:pPr>
              <w:pStyle w:val="Tabellentext"/>
              <w:jc w:val="right"/>
              <w:rPr>
                <w:rFonts w:asciiTheme="majorHAnsi" w:hAnsiTheme="majorHAnsi" w:cstheme="majorHAnsi"/>
              </w:rPr>
            </w:pPr>
            <w:r>
              <w:rPr>
                <w:rFonts w:asciiTheme="majorHAnsi" w:hAnsiTheme="majorHAnsi"/>
              </w:rPr>
              <w:t>434 170</w:t>
            </w:r>
          </w:p>
        </w:tc>
        <w:tc>
          <w:tcPr>
            <w:tcW w:w="605" w:type="pct"/>
            <w:noWrap/>
          </w:tcPr>
          <w:p w14:paraId="23C0D164" w14:textId="2AA19245" w:rsidR="005646C3" w:rsidRPr="00A5344E" w:rsidRDefault="005646C3" w:rsidP="005646C3">
            <w:pPr>
              <w:pStyle w:val="Tabellentext"/>
              <w:jc w:val="right"/>
              <w:rPr>
                <w:rFonts w:asciiTheme="majorHAnsi" w:hAnsiTheme="majorHAnsi" w:cstheme="majorHAnsi"/>
              </w:rPr>
            </w:pPr>
            <w:r>
              <w:rPr>
                <w:rFonts w:asciiTheme="majorHAnsi" w:hAnsiTheme="majorHAnsi"/>
              </w:rPr>
              <w:t>382 316</w:t>
            </w:r>
          </w:p>
        </w:tc>
        <w:tc>
          <w:tcPr>
            <w:tcW w:w="573" w:type="pct"/>
          </w:tcPr>
          <w:p w14:paraId="372DBD19" w14:textId="0F6535DE" w:rsidR="005646C3" w:rsidRPr="00A5344E" w:rsidRDefault="005646C3" w:rsidP="005646C3">
            <w:pPr>
              <w:pStyle w:val="Tabellentext"/>
              <w:jc w:val="right"/>
              <w:rPr>
                <w:rFonts w:asciiTheme="majorHAnsi" w:hAnsiTheme="majorHAnsi" w:cstheme="majorHAnsi"/>
              </w:rPr>
            </w:pPr>
            <w:r>
              <w:rPr>
                <w:rFonts w:asciiTheme="majorHAnsi" w:hAnsiTheme="majorHAnsi"/>
              </w:rPr>
              <w:t>1 054 102</w:t>
            </w:r>
          </w:p>
        </w:tc>
      </w:tr>
      <w:tr w:rsidR="005646C3" w:rsidRPr="00A5344E" w14:paraId="7A794FDD" w14:textId="77777777" w:rsidTr="00F3243F">
        <w:trPr>
          <w:cnfStyle w:val="000000100000" w:firstRow="0" w:lastRow="0" w:firstColumn="0" w:lastColumn="0" w:oddVBand="0" w:evenVBand="0" w:oddHBand="1" w:evenHBand="0" w:firstRowFirstColumn="0" w:firstRowLastColumn="0" w:lastRowFirstColumn="0" w:lastRowLastColumn="0"/>
          <w:trHeight w:val="330"/>
        </w:trPr>
        <w:tc>
          <w:tcPr>
            <w:tcW w:w="1718" w:type="pct"/>
            <w:noWrap/>
          </w:tcPr>
          <w:p w14:paraId="01A7077F" w14:textId="77EEFC97" w:rsidR="005646C3" w:rsidRPr="00A5344E" w:rsidRDefault="005646C3" w:rsidP="005646C3">
            <w:pPr>
              <w:pStyle w:val="Tabellentext"/>
              <w:rPr>
                <w:rFonts w:asciiTheme="majorHAnsi" w:hAnsiTheme="majorHAnsi" w:cstheme="majorHAnsi"/>
                <w:b/>
                <w:bCs/>
              </w:rPr>
            </w:pPr>
            <w:r>
              <w:rPr>
                <w:rFonts w:asciiTheme="majorHAnsi" w:hAnsiTheme="majorHAnsi"/>
              </w:rPr>
              <w:t>Augmentation par personne habitant la commune</w:t>
            </w:r>
          </w:p>
        </w:tc>
        <w:tc>
          <w:tcPr>
            <w:tcW w:w="501" w:type="pct"/>
            <w:noWrap/>
          </w:tcPr>
          <w:p w14:paraId="7FD74303" w14:textId="27E16A27" w:rsidR="005646C3" w:rsidRPr="00A5344E" w:rsidRDefault="005646C3" w:rsidP="005646C3">
            <w:pPr>
              <w:pStyle w:val="Tabellentext"/>
              <w:jc w:val="right"/>
              <w:rPr>
                <w:rFonts w:asciiTheme="majorHAnsi" w:hAnsiTheme="majorHAnsi" w:cstheme="majorHAnsi"/>
              </w:rPr>
            </w:pPr>
            <w:r>
              <w:rPr>
                <w:rFonts w:asciiTheme="majorHAnsi" w:hAnsiTheme="majorHAnsi"/>
              </w:rPr>
              <w:t>127</w:t>
            </w:r>
          </w:p>
        </w:tc>
        <w:tc>
          <w:tcPr>
            <w:tcW w:w="518" w:type="pct"/>
            <w:noWrap/>
          </w:tcPr>
          <w:p w14:paraId="0032CCEC" w14:textId="04071601" w:rsidR="005646C3" w:rsidRPr="00A5344E" w:rsidRDefault="005646C3" w:rsidP="005646C3">
            <w:pPr>
              <w:pStyle w:val="Tabellentext"/>
              <w:jc w:val="right"/>
              <w:rPr>
                <w:rFonts w:asciiTheme="majorHAnsi" w:hAnsiTheme="majorHAnsi" w:cstheme="majorHAnsi"/>
              </w:rPr>
            </w:pPr>
            <w:r>
              <w:rPr>
                <w:rFonts w:asciiTheme="majorHAnsi" w:hAnsiTheme="majorHAnsi"/>
              </w:rPr>
              <w:t>168</w:t>
            </w:r>
          </w:p>
        </w:tc>
        <w:tc>
          <w:tcPr>
            <w:tcW w:w="517" w:type="pct"/>
            <w:noWrap/>
          </w:tcPr>
          <w:p w14:paraId="37EC17EE" w14:textId="24FECEBD" w:rsidR="005646C3" w:rsidRPr="00A5344E" w:rsidRDefault="005646C3" w:rsidP="005646C3">
            <w:pPr>
              <w:pStyle w:val="Tabellentext"/>
              <w:jc w:val="right"/>
              <w:rPr>
                <w:rFonts w:asciiTheme="majorHAnsi" w:hAnsiTheme="majorHAnsi" w:cstheme="majorHAnsi"/>
              </w:rPr>
            </w:pPr>
            <w:r>
              <w:rPr>
                <w:rFonts w:asciiTheme="majorHAnsi" w:hAnsiTheme="majorHAnsi"/>
              </w:rPr>
              <w:t>221</w:t>
            </w:r>
          </w:p>
        </w:tc>
        <w:tc>
          <w:tcPr>
            <w:tcW w:w="567" w:type="pct"/>
            <w:noWrap/>
          </w:tcPr>
          <w:p w14:paraId="775EE704" w14:textId="6D814B2F" w:rsidR="005646C3" w:rsidRPr="00A5344E" w:rsidRDefault="005646C3" w:rsidP="005646C3">
            <w:pPr>
              <w:pStyle w:val="Tabellentext"/>
              <w:jc w:val="right"/>
              <w:rPr>
                <w:rFonts w:asciiTheme="majorHAnsi" w:hAnsiTheme="majorHAnsi" w:cstheme="majorHAnsi"/>
              </w:rPr>
            </w:pPr>
            <w:r>
              <w:rPr>
                <w:rFonts w:asciiTheme="majorHAnsi" w:hAnsiTheme="majorHAnsi"/>
              </w:rPr>
              <w:t>181</w:t>
            </w:r>
          </w:p>
        </w:tc>
        <w:tc>
          <w:tcPr>
            <w:tcW w:w="605" w:type="pct"/>
            <w:noWrap/>
          </w:tcPr>
          <w:p w14:paraId="0ED17FB7" w14:textId="4D2C8B67" w:rsidR="005646C3" w:rsidRPr="00A5344E" w:rsidRDefault="005646C3" w:rsidP="005646C3">
            <w:pPr>
              <w:pStyle w:val="Tabellentext"/>
              <w:jc w:val="right"/>
              <w:rPr>
                <w:rFonts w:asciiTheme="majorHAnsi" w:hAnsiTheme="majorHAnsi" w:cstheme="majorHAnsi"/>
              </w:rPr>
            </w:pPr>
            <w:r>
              <w:rPr>
                <w:rFonts w:asciiTheme="majorHAnsi" w:hAnsiTheme="majorHAnsi"/>
              </w:rPr>
              <w:t>283</w:t>
            </w:r>
          </w:p>
        </w:tc>
        <w:tc>
          <w:tcPr>
            <w:tcW w:w="573" w:type="pct"/>
          </w:tcPr>
          <w:p w14:paraId="161D3B51" w14:textId="55920BBE" w:rsidR="005646C3" w:rsidRPr="00A5344E" w:rsidRDefault="005646C3" w:rsidP="005646C3">
            <w:pPr>
              <w:pStyle w:val="Tabellentext"/>
              <w:jc w:val="right"/>
              <w:rPr>
                <w:rFonts w:asciiTheme="majorHAnsi" w:hAnsiTheme="majorHAnsi" w:cstheme="majorHAnsi"/>
              </w:rPr>
            </w:pPr>
            <w:r>
              <w:rPr>
                <w:rFonts w:asciiTheme="majorHAnsi" w:hAnsiTheme="majorHAnsi"/>
              </w:rPr>
              <w:t>222</w:t>
            </w:r>
          </w:p>
        </w:tc>
      </w:tr>
    </w:tbl>
    <w:p w14:paraId="50EA1F94" w14:textId="13BB10FE" w:rsidR="001E0DF4" w:rsidRPr="00A5344E" w:rsidRDefault="001E0DF4" w:rsidP="00DC432E">
      <w:pPr>
        <w:rPr>
          <w:rFonts w:asciiTheme="majorHAnsi" w:hAnsiTheme="majorHAnsi" w:cstheme="majorHAnsi"/>
          <w:highlight w:val="yellow"/>
        </w:rPr>
      </w:pPr>
    </w:p>
    <w:p w14:paraId="0F1F4192" w14:textId="67001F84" w:rsidR="001E0DF4" w:rsidRPr="00A5344E" w:rsidRDefault="005646C3" w:rsidP="00DC432E">
      <w:pPr>
        <w:rPr>
          <w:rFonts w:asciiTheme="majorHAnsi" w:hAnsiTheme="majorHAnsi" w:cstheme="majorHAnsi"/>
        </w:rPr>
      </w:pPr>
      <w:r>
        <w:rPr>
          <w:rFonts w:asciiTheme="majorHAnsi" w:hAnsiTheme="majorHAnsi"/>
        </w:rPr>
        <w:t>L’</w:t>
      </w:r>
      <w:r w:rsidRPr="00A5344E">
        <w:rPr>
          <w:rFonts w:asciiTheme="majorHAnsi" w:hAnsiTheme="majorHAnsi" w:cstheme="majorHAnsi"/>
        </w:rPr>
        <w:fldChar w:fldCharType="begin"/>
      </w:r>
      <w:r w:rsidRPr="00A5344E">
        <w:rPr>
          <w:rFonts w:asciiTheme="majorHAnsi" w:hAnsiTheme="majorHAnsi" w:cstheme="majorHAnsi"/>
        </w:rPr>
        <w:instrText xml:space="preserve"> REF _Ref187920404 \h  \* </w:instrText>
      </w:r>
      <w:r w:rsidR="00AB2901">
        <w:rPr>
          <w:rFonts w:asciiTheme="majorHAnsi" w:hAnsiTheme="majorHAnsi" w:cstheme="majorHAnsi"/>
        </w:rPr>
        <w:instrText xml:space="preserve">Lower </w:instrText>
      </w:r>
      <w:r w:rsidR="00AB2901" w:rsidRPr="00AB2901">
        <w:rPr>
          <w:rFonts w:asciiTheme="majorHAnsi" w:hAnsiTheme="majorHAnsi" w:cstheme="majorHAnsi"/>
        </w:rPr>
        <w:instrText>\* charformat</w:instrText>
      </w:r>
      <w:r w:rsidRPr="00A5344E">
        <w:rPr>
          <w:rFonts w:asciiTheme="majorHAnsi" w:hAnsiTheme="majorHAnsi" w:cstheme="majorHAnsi"/>
        </w:rPr>
        <w:instrText xml:space="preserve"> </w:instrText>
      </w:r>
      <w:r w:rsidRPr="00A5344E">
        <w:rPr>
          <w:rFonts w:asciiTheme="majorHAnsi" w:hAnsiTheme="majorHAnsi" w:cstheme="majorHAnsi"/>
        </w:rPr>
      </w:r>
      <w:r w:rsidRPr="00A5344E">
        <w:rPr>
          <w:rFonts w:asciiTheme="majorHAnsi" w:hAnsiTheme="majorHAnsi" w:cstheme="majorHAnsi"/>
        </w:rPr>
        <w:fldChar w:fldCharType="separate"/>
      </w:r>
      <w:r w:rsidR="00551742" w:rsidRPr="00551742">
        <w:rPr>
          <w:rFonts w:asciiTheme="majorHAnsi" w:hAnsiTheme="majorHAnsi" w:cstheme="majorHAnsi"/>
        </w:rPr>
        <w:t>illustration 12</w:t>
      </w:r>
      <w:r w:rsidRPr="00A5344E">
        <w:rPr>
          <w:rFonts w:asciiTheme="majorHAnsi" w:hAnsiTheme="majorHAnsi" w:cstheme="majorHAnsi"/>
        </w:rPr>
        <w:fldChar w:fldCharType="end"/>
      </w:r>
      <w:r>
        <w:rPr>
          <w:rFonts w:asciiTheme="majorHAnsi" w:hAnsiTheme="majorHAnsi"/>
        </w:rPr>
        <w:t xml:space="preserve"> montre que ce sont les communes dont la quotité d’impôt est supérieure ou égale à 2 qui ont enregistré la plus forte augmentation des rentrées fiscales (2,86 dixièmes de quotité d’impôt, soit CHF 4,4 mio).</w:t>
      </w:r>
    </w:p>
    <w:p w14:paraId="5212DC3F" w14:textId="77777777" w:rsidR="001E0DF4" w:rsidRPr="00A5344E" w:rsidRDefault="001E0DF4" w:rsidP="00DC432E">
      <w:pPr>
        <w:rPr>
          <w:rFonts w:asciiTheme="majorHAnsi" w:hAnsiTheme="majorHAnsi" w:cstheme="majorHAnsi"/>
        </w:rPr>
      </w:pPr>
    </w:p>
    <w:p w14:paraId="3D23490B" w14:textId="56A8D972" w:rsidR="001E0DF4" w:rsidRPr="00A5344E" w:rsidRDefault="001E0DF4" w:rsidP="00DC432E">
      <w:pPr>
        <w:rPr>
          <w:rFonts w:asciiTheme="majorHAnsi" w:hAnsiTheme="majorHAnsi" w:cstheme="majorHAnsi"/>
        </w:rPr>
      </w:pPr>
      <w:r>
        <w:rPr>
          <w:rFonts w:asciiTheme="majorHAnsi" w:hAnsiTheme="majorHAnsi"/>
        </w:rPr>
        <w:t>Inversement, les communes dont la quotité d’impôt est inférieure à 1,4 ont connu la plus faible progression, voire un recul de leurs rentrées fiscales, chiffré à -</w:t>
      </w:r>
      <w:r w:rsidR="00B144C2">
        <w:rPr>
          <w:rFonts w:asciiTheme="majorHAnsi" w:hAnsiTheme="majorHAnsi"/>
        </w:rPr>
        <w:t> </w:t>
      </w:r>
      <w:r>
        <w:rPr>
          <w:rFonts w:asciiTheme="majorHAnsi" w:hAnsiTheme="majorHAnsi"/>
        </w:rPr>
        <w:t>0,15 dixième de quotité (CHF - 2,3 mio).</w:t>
      </w:r>
    </w:p>
    <w:p w14:paraId="33D94536" w14:textId="338B871F" w:rsidR="001E0DF4" w:rsidRPr="00A5344E" w:rsidRDefault="001E0DF4" w:rsidP="00DC432E">
      <w:pPr>
        <w:pStyle w:val="Textkrper"/>
        <w:spacing w:line="270" w:lineRule="atLeast"/>
        <w:rPr>
          <w:rFonts w:asciiTheme="majorHAnsi" w:hAnsiTheme="majorHAnsi" w:cstheme="majorHAnsi"/>
          <w:highlight w:val="yellow"/>
          <w:lang w:val="de-CH"/>
        </w:rPr>
      </w:pPr>
    </w:p>
    <w:p w14:paraId="72115D22" w14:textId="17B5BBC7" w:rsidR="005646C3" w:rsidRPr="00A5344E" w:rsidRDefault="005646C3" w:rsidP="005646C3">
      <w:pPr>
        <w:pStyle w:val="Beschriftung"/>
        <w:keepNext/>
        <w:rPr>
          <w:rFonts w:asciiTheme="majorHAnsi" w:hAnsiTheme="majorHAnsi" w:cstheme="majorHAnsi"/>
          <w:b/>
          <w:bCs w:val="0"/>
        </w:rPr>
      </w:pPr>
      <w:bookmarkStart w:id="49" w:name="_Ref187920404"/>
      <w:r>
        <w:rPr>
          <w:rFonts w:asciiTheme="majorHAnsi" w:hAnsiTheme="majorHAnsi"/>
          <w:b/>
        </w:rPr>
        <w:lastRenderedPageBreak/>
        <w:t>Illustration</w:t>
      </w:r>
      <w:r w:rsidR="00AB2901">
        <w:rPr>
          <w:rFonts w:asciiTheme="majorHAnsi" w:hAnsiTheme="majorHAnsi"/>
          <w:b/>
        </w:rPr>
        <w:t xml:space="preserve"> </w:t>
      </w:r>
      <w:r w:rsidRPr="00A5344E">
        <w:rPr>
          <w:rFonts w:asciiTheme="majorHAnsi" w:hAnsiTheme="majorHAnsi" w:cstheme="majorHAnsi"/>
          <w:b/>
        </w:rPr>
        <w:fldChar w:fldCharType="begin"/>
      </w:r>
      <w:r w:rsidRPr="00A5344E">
        <w:rPr>
          <w:rFonts w:asciiTheme="majorHAnsi" w:hAnsiTheme="majorHAnsi" w:cstheme="majorHAnsi"/>
          <w:b/>
        </w:rPr>
        <w:instrText xml:space="preserve"> SEQ Abbildung \* ARABIC </w:instrText>
      </w:r>
      <w:r w:rsidRPr="00A5344E">
        <w:rPr>
          <w:rFonts w:asciiTheme="majorHAnsi" w:hAnsiTheme="majorHAnsi" w:cstheme="majorHAnsi"/>
          <w:b/>
        </w:rPr>
        <w:fldChar w:fldCharType="separate"/>
      </w:r>
      <w:r w:rsidR="00A513C6" w:rsidRPr="00A5344E">
        <w:rPr>
          <w:rFonts w:asciiTheme="majorHAnsi" w:hAnsiTheme="majorHAnsi" w:cstheme="majorHAnsi"/>
          <w:b/>
        </w:rPr>
        <w:t>12</w:t>
      </w:r>
      <w:r w:rsidRPr="00A5344E">
        <w:rPr>
          <w:rFonts w:asciiTheme="majorHAnsi" w:hAnsiTheme="majorHAnsi" w:cstheme="majorHAnsi"/>
          <w:b/>
        </w:rPr>
        <w:fldChar w:fldCharType="end"/>
      </w:r>
      <w:bookmarkEnd w:id="49"/>
      <w:r>
        <w:rPr>
          <w:rFonts w:asciiTheme="majorHAnsi" w:hAnsiTheme="majorHAnsi"/>
          <w:b/>
        </w:rPr>
        <w:t> :</w:t>
      </w:r>
      <w:r>
        <w:rPr>
          <w:rFonts w:asciiTheme="majorHAnsi" w:hAnsiTheme="majorHAnsi"/>
          <w:b/>
        </w:rPr>
        <w:tab/>
        <w:t>Augmentation du produit des impôts communaux ordinaires de 2019 à 2023 ;</w:t>
      </w:r>
      <w:r>
        <w:rPr>
          <w:rFonts w:asciiTheme="majorHAnsi" w:hAnsiTheme="majorHAnsi"/>
          <w:b/>
        </w:rPr>
        <w:br/>
      </w:r>
      <w:r>
        <w:rPr>
          <w:rFonts w:asciiTheme="majorHAnsi" w:hAnsiTheme="majorHAnsi"/>
          <w:b/>
        </w:rPr>
        <w:tab/>
      </w:r>
      <w:r>
        <w:rPr>
          <w:rFonts w:asciiTheme="majorHAnsi" w:hAnsiTheme="majorHAnsi"/>
          <w:b/>
        </w:rPr>
        <w:tab/>
        <w:t>classement des communes par leur quotité d’impôt en 2023</w:t>
      </w:r>
    </w:p>
    <w:tbl>
      <w:tblPr>
        <w:tblStyle w:val="Ecoplankombi"/>
        <w:tblW w:w="4759" w:type="pct"/>
        <w:tblLayout w:type="fixed"/>
        <w:tblLook w:val="04A0" w:firstRow="1" w:lastRow="0" w:firstColumn="1" w:lastColumn="0" w:noHBand="0" w:noVBand="1"/>
      </w:tblPr>
      <w:tblGrid>
        <w:gridCol w:w="2795"/>
        <w:gridCol w:w="1119"/>
        <w:gridCol w:w="1106"/>
        <w:gridCol w:w="1202"/>
        <w:gridCol w:w="1045"/>
        <w:gridCol w:w="979"/>
        <w:gridCol w:w="1118"/>
      </w:tblGrid>
      <w:tr w:rsidR="00B144C2" w:rsidRPr="00A5344E" w14:paraId="26B41548" w14:textId="77777777" w:rsidTr="00B144C2">
        <w:trPr>
          <w:cnfStyle w:val="100000000000" w:firstRow="1" w:lastRow="0" w:firstColumn="0" w:lastColumn="0" w:oddVBand="0" w:evenVBand="0" w:oddHBand="0" w:evenHBand="0" w:firstRowFirstColumn="0" w:firstRowLastColumn="0" w:lastRowFirstColumn="0" w:lastRowLastColumn="0"/>
          <w:trHeight w:val="330"/>
        </w:trPr>
        <w:tc>
          <w:tcPr>
            <w:tcW w:w="1492" w:type="pct"/>
            <w:noWrap/>
          </w:tcPr>
          <w:p w14:paraId="278E7666" w14:textId="51E23FDA" w:rsidR="005646C3" w:rsidRPr="00A5344E" w:rsidRDefault="005646C3" w:rsidP="005646C3">
            <w:pPr>
              <w:pStyle w:val="Tabellentext"/>
              <w:rPr>
                <w:rFonts w:asciiTheme="majorHAnsi" w:hAnsiTheme="majorHAnsi" w:cstheme="majorHAnsi"/>
                <w:b/>
                <w:bCs/>
              </w:rPr>
            </w:pPr>
            <w:r>
              <w:rPr>
                <w:rFonts w:asciiTheme="majorHAnsi" w:hAnsiTheme="majorHAnsi"/>
                <w:b/>
              </w:rPr>
              <w:t>Rubrique / catégorie de quotité</w:t>
            </w:r>
          </w:p>
        </w:tc>
        <w:tc>
          <w:tcPr>
            <w:tcW w:w="597" w:type="pct"/>
            <w:noWrap/>
          </w:tcPr>
          <w:p w14:paraId="1F60F49C" w14:textId="5EAAF520" w:rsidR="005646C3" w:rsidRPr="00A5344E" w:rsidRDefault="005646C3" w:rsidP="005646C3">
            <w:pPr>
              <w:pStyle w:val="Tabellentext"/>
              <w:jc w:val="right"/>
              <w:rPr>
                <w:rFonts w:asciiTheme="majorHAnsi" w:hAnsiTheme="majorHAnsi" w:cstheme="majorHAnsi"/>
                <w:b/>
                <w:bCs/>
              </w:rPr>
            </w:pPr>
            <w:r>
              <w:rPr>
                <w:rFonts w:asciiTheme="majorHAnsi" w:hAnsiTheme="majorHAnsi"/>
                <w:b/>
              </w:rPr>
              <w:t>&lt; 1,40</w:t>
            </w:r>
          </w:p>
        </w:tc>
        <w:tc>
          <w:tcPr>
            <w:tcW w:w="590" w:type="pct"/>
            <w:noWrap/>
          </w:tcPr>
          <w:p w14:paraId="6594B812" w14:textId="66BEE247" w:rsidR="005646C3" w:rsidRPr="00A5344E" w:rsidRDefault="005646C3" w:rsidP="005646C3">
            <w:pPr>
              <w:pStyle w:val="Tabellentext"/>
              <w:jc w:val="right"/>
              <w:rPr>
                <w:rFonts w:asciiTheme="majorHAnsi" w:hAnsiTheme="majorHAnsi" w:cstheme="majorHAnsi"/>
                <w:b/>
                <w:bCs/>
              </w:rPr>
            </w:pPr>
            <w:r>
              <w:rPr>
                <w:rFonts w:asciiTheme="majorHAnsi" w:hAnsiTheme="majorHAnsi"/>
                <w:b/>
              </w:rPr>
              <w:t>&gt; 1,40 à 1,59</w:t>
            </w:r>
          </w:p>
        </w:tc>
        <w:tc>
          <w:tcPr>
            <w:tcW w:w="642" w:type="pct"/>
            <w:noWrap/>
          </w:tcPr>
          <w:p w14:paraId="15667B9C" w14:textId="28F19120" w:rsidR="005646C3" w:rsidRPr="00A5344E" w:rsidRDefault="005646C3" w:rsidP="005646C3">
            <w:pPr>
              <w:pStyle w:val="Tabellentext"/>
              <w:jc w:val="right"/>
              <w:rPr>
                <w:rFonts w:asciiTheme="majorHAnsi" w:hAnsiTheme="majorHAnsi" w:cstheme="majorHAnsi"/>
                <w:b/>
                <w:bCs/>
              </w:rPr>
            </w:pPr>
            <w:r>
              <w:rPr>
                <w:rFonts w:asciiTheme="majorHAnsi" w:hAnsiTheme="majorHAnsi"/>
                <w:b/>
              </w:rPr>
              <w:t>de 1,60 à 1,79</w:t>
            </w:r>
          </w:p>
        </w:tc>
        <w:tc>
          <w:tcPr>
            <w:tcW w:w="558" w:type="pct"/>
            <w:noWrap/>
          </w:tcPr>
          <w:p w14:paraId="17A0C6D2" w14:textId="385F17B3" w:rsidR="005646C3" w:rsidRPr="00A5344E" w:rsidRDefault="005646C3" w:rsidP="005646C3">
            <w:pPr>
              <w:pStyle w:val="Tabellentext"/>
              <w:jc w:val="right"/>
              <w:rPr>
                <w:rFonts w:asciiTheme="majorHAnsi" w:hAnsiTheme="majorHAnsi" w:cstheme="majorHAnsi"/>
                <w:b/>
                <w:bCs/>
              </w:rPr>
            </w:pPr>
            <w:r>
              <w:rPr>
                <w:rFonts w:asciiTheme="majorHAnsi" w:hAnsiTheme="majorHAnsi"/>
                <w:b/>
              </w:rPr>
              <w:t>de 1,80 à 1,99</w:t>
            </w:r>
          </w:p>
        </w:tc>
        <w:tc>
          <w:tcPr>
            <w:tcW w:w="523" w:type="pct"/>
            <w:noWrap/>
          </w:tcPr>
          <w:p w14:paraId="0DF83425" w14:textId="7CFFD317" w:rsidR="005646C3" w:rsidRPr="00A5344E" w:rsidRDefault="005646C3" w:rsidP="005646C3">
            <w:pPr>
              <w:pStyle w:val="Tabellentext"/>
              <w:jc w:val="right"/>
              <w:rPr>
                <w:rFonts w:asciiTheme="majorHAnsi" w:hAnsiTheme="majorHAnsi" w:cstheme="majorHAnsi"/>
                <w:b/>
                <w:bCs/>
              </w:rPr>
            </w:pPr>
            <w:r>
              <w:rPr>
                <w:rFonts w:asciiTheme="majorHAnsi" w:hAnsiTheme="majorHAnsi"/>
                <w:b/>
              </w:rPr>
              <w:t>&gt; 2</w:t>
            </w:r>
          </w:p>
        </w:tc>
        <w:tc>
          <w:tcPr>
            <w:tcW w:w="597" w:type="pct"/>
          </w:tcPr>
          <w:p w14:paraId="05F5185B" w14:textId="52A84951" w:rsidR="005646C3" w:rsidRPr="00A5344E" w:rsidRDefault="005646C3" w:rsidP="005646C3">
            <w:pPr>
              <w:pStyle w:val="Tabellentext"/>
              <w:jc w:val="right"/>
              <w:rPr>
                <w:rFonts w:asciiTheme="majorHAnsi" w:hAnsiTheme="majorHAnsi" w:cstheme="majorHAnsi"/>
                <w:b/>
                <w:bCs/>
              </w:rPr>
            </w:pPr>
            <w:r>
              <w:rPr>
                <w:rFonts w:asciiTheme="majorHAnsi" w:hAnsiTheme="majorHAnsi"/>
                <w:b/>
              </w:rPr>
              <w:t>Total</w:t>
            </w:r>
          </w:p>
        </w:tc>
      </w:tr>
      <w:tr w:rsidR="00B144C2" w:rsidRPr="00A5344E" w14:paraId="50A3CCE8" w14:textId="77777777" w:rsidTr="00B144C2">
        <w:trPr>
          <w:cnfStyle w:val="000000100000" w:firstRow="0" w:lastRow="0" w:firstColumn="0" w:lastColumn="0" w:oddVBand="0" w:evenVBand="0" w:oddHBand="1" w:evenHBand="0" w:firstRowFirstColumn="0" w:firstRowLastColumn="0" w:lastRowFirstColumn="0" w:lastRowLastColumn="0"/>
          <w:trHeight w:val="330"/>
        </w:trPr>
        <w:tc>
          <w:tcPr>
            <w:tcW w:w="1492" w:type="pct"/>
            <w:noWrap/>
          </w:tcPr>
          <w:p w14:paraId="65A123CD" w14:textId="42214F00" w:rsidR="005646C3" w:rsidRPr="00A5344E" w:rsidRDefault="005646C3" w:rsidP="005646C3">
            <w:pPr>
              <w:pStyle w:val="Tabellentext"/>
              <w:rPr>
                <w:rFonts w:asciiTheme="majorHAnsi" w:hAnsiTheme="majorHAnsi" w:cstheme="majorHAnsi"/>
                <w:b/>
                <w:bCs/>
              </w:rPr>
            </w:pPr>
            <w:r>
              <w:rPr>
                <w:rFonts w:asciiTheme="majorHAnsi" w:hAnsiTheme="majorHAnsi"/>
              </w:rPr>
              <w:t>Augmentation totale</w:t>
            </w:r>
          </w:p>
        </w:tc>
        <w:tc>
          <w:tcPr>
            <w:tcW w:w="597" w:type="pct"/>
            <w:noWrap/>
          </w:tcPr>
          <w:p w14:paraId="71E75599" w14:textId="63D12ADD" w:rsidR="005646C3" w:rsidRPr="00A5344E" w:rsidRDefault="005646C3" w:rsidP="005646C3">
            <w:pPr>
              <w:pStyle w:val="Tabellentext"/>
              <w:jc w:val="right"/>
              <w:rPr>
                <w:rFonts w:asciiTheme="majorHAnsi" w:hAnsiTheme="majorHAnsi" w:cstheme="majorHAnsi"/>
              </w:rPr>
            </w:pPr>
            <w:r>
              <w:rPr>
                <w:rFonts w:asciiTheme="majorHAnsi" w:hAnsiTheme="majorHAnsi"/>
              </w:rPr>
              <w:t>-2 341 020</w:t>
            </w:r>
          </w:p>
        </w:tc>
        <w:tc>
          <w:tcPr>
            <w:tcW w:w="590" w:type="pct"/>
            <w:noWrap/>
          </w:tcPr>
          <w:p w14:paraId="52CBBE86" w14:textId="6EBC9033" w:rsidR="005646C3" w:rsidRPr="00A5344E" w:rsidRDefault="005646C3" w:rsidP="005646C3">
            <w:pPr>
              <w:pStyle w:val="Tabellentext"/>
              <w:jc w:val="right"/>
              <w:rPr>
                <w:rFonts w:asciiTheme="majorHAnsi" w:hAnsiTheme="majorHAnsi" w:cstheme="majorHAnsi"/>
              </w:rPr>
            </w:pPr>
            <w:r>
              <w:rPr>
                <w:rFonts w:asciiTheme="majorHAnsi" w:hAnsiTheme="majorHAnsi"/>
              </w:rPr>
              <w:t>84 328 447</w:t>
            </w:r>
          </w:p>
        </w:tc>
        <w:tc>
          <w:tcPr>
            <w:tcW w:w="642" w:type="pct"/>
            <w:noWrap/>
          </w:tcPr>
          <w:p w14:paraId="6D5902E7" w14:textId="18DF2CF5" w:rsidR="005646C3" w:rsidRPr="00A5344E" w:rsidRDefault="005646C3" w:rsidP="005646C3">
            <w:pPr>
              <w:pStyle w:val="Tabellentext"/>
              <w:jc w:val="right"/>
              <w:rPr>
                <w:rFonts w:asciiTheme="majorHAnsi" w:hAnsiTheme="majorHAnsi" w:cstheme="majorHAnsi"/>
              </w:rPr>
            </w:pPr>
            <w:r>
              <w:rPr>
                <w:rFonts w:asciiTheme="majorHAnsi" w:hAnsiTheme="majorHAnsi"/>
              </w:rPr>
              <w:t>106 225 700</w:t>
            </w:r>
          </w:p>
        </w:tc>
        <w:tc>
          <w:tcPr>
            <w:tcW w:w="558" w:type="pct"/>
            <w:noWrap/>
          </w:tcPr>
          <w:p w14:paraId="0AD14B29" w14:textId="74304410" w:rsidR="005646C3" w:rsidRPr="00A5344E" w:rsidRDefault="005646C3" w:rsidP="005646C3">
            <w:pPr>
              <w:pStyle w:val="Tabellentext"/>
              <w:jc w:val="right"/>
              <w:rPr>
                <w:rFonts w:asciiTheme="majorHAnsi" w:hAnsiTheme="majorHAnsi" w:cstheme="majorHAnsi"/>
              </w:rPr>
            </w:pPr>
            <w:r>
              <w:rPr>
                <w:rFonts w:asciiTheme="majorHAnsi" w:hAnsiTheme="majorHAnsi"/>
              </w:rPr>
              <w:t>41 740 470</w:t>
            </w:r>
          </w:p>
        </w:tc>
        <w:tc>
          <w:tcPr>
            <w:tcW w:w="523" w:type="pct"/>
            <w:noWrap/>
          </w:tcPr>
          <w:p w14:paraId="1A3D2576" w14:textId="5016C64E" w:rsidR="005646C3" w:rsidRPr="00A5344E" w:rsidRDefault="005646C3" w:rsidP="005646C3">
            <w:pPr>
              <w:pStyle w:val="Tabellentext"/>
              <w:jc w:val="right"/>
              <w:rPr>
                <w:rFonts w:asciiTheme="majorHAnsi" w:hAnsiTheme="majorHAnsi" w:cstheme="majorHAnsi"/>
              </w:rPr>
            </w:pPr>
            <w:r>
              <w:rPr>
                <w:rFonts w:asciiTheme="majorHAnsi" w:hAnsiTheme="majorHAnsi"/>
              </w:rPr>
              <w:t>4 376 893</w:t>
            </w:r>
          </w:p>
        </w:tc>
        <w:tc>
          <w:tcPr>
            <w:tcW w:w="597" w:type="pct"/>
          </w:tcPr>
          <w:p w14:paraId="36D2D0DF" w14:textId="07157F28" w:rsidR="005646C3" w:rsidRPr="00A5344E" w:rsidRDefault="005646C3" w:rsidP="005646C3">
            <w:pPr>
              <w:pStyle w:val="Tabellentext"/>
              <w:jc w:val="right"/>
              <w:rPr>
                <w:rFonts w:asciiTheme="majorHAnsi" w:hAnsiTheme="majorHAnsi" w:cstheme="majorHAnsi"/>
              </w:rPr>
            </w:pPr>
            <w:r>
              <w:rPr>
                <w:rFonts w:asciiTheme="majorHAnsi" w:hAnsiTheme="majorHAnsi"/>
              </w:rPr>
              <w:t>234 330 490</w:t>
            </w:r>
          </w:p>
        </w:tc>
      </w:tr>
      <w:tr w:rsidR="00B144C2" w:rsidRPr="00A5344E" w14:paraId="24829936" w14:textId="77777777" w:rsidTr="00B144C2">
        <w:trPr>
          <w:cnfStyle w:val="000000010000" w:firstRow="0" w:lastRow="0" w:firstColumn="0" w:lastColumn="0" w:oddVBand="0" w:evenVBand="0" w:oddHBand="0" w:evenHBand="1" w:firstRowFirstColumn="0" w:firstRowLastColumn="0" w:lastRowFirstColumn="0" w:lastRowLastColumn="0"/>
          <w:trHeight w:val="330"/>
        </w:trPr>
        <w:tc>
          <w:tcPr>
            <w:tcW w:w="1492" w:type="pct"/>
            <w:noWrap/>
          </w:tcPr>
          <w:p w14:paraId="36F8CE94" w14:textId="0B294AD6" w:rsidR="005646C3" w:rsidRPr="00A5344E" w:rsidRDefault="005646C3" w:rsidP="005646C3">
            <w:pPr>
              <w:pStyle w:val="Tabellentext"/>
              <w:rPr>
                <w:rFonts w:asciiTheme="majorHAnsi" w:hAnsiTheme="majorHAnsi" w:cstheme="majorHAnsi"/>
                <w:b/>
                <w:bCs/>
              </w:rPr>
            </w:pPr>
            <w:r>
              <w:rPr>
                <w:rFonts w:asciiTheme="majorHAnsi" w:hAnsiTheme="majorHAnsi"/>
              </w:rPr>
              <w:t>Augmentation en dixièmes de quotité d’impôt</w:t>
            </w:r>
          </w:p>
        </w:tc>
        <w:tc>
          <w:tcPr>
            <w:tcW w:w="597" w:type="pct"/>
            <w:noWrap/>
          </w:tcPr>
          <w:p w14:paraId="0219C5A2" w14:textId="6726BC8D" w:rsidR="005646C3" w:rsidRPr="00A5344E" w:rsidRDefault="005646C3" w:rsidP="005646C3">
            <w:pPr>
              <w:pStyle w:val="Tabellentext"/>
              <w:jc w:val="right"/>
              <w:rPr>
                <w:rFonts w:asciiTheme="majorHAnsi" w:hAnsiTheme="majorHAnsi" w:cstheme="majorHAnsi"/>
              </w:rPr>
            </w:pPr>
            <w:r>
              <w:rPr>
                <w:rFonts w:asciiTheme="majorHAnsi" w:hAnsiTheme="majorHAnsi"/>
              </w:rPr>
              <w:t>-0,15</w:t>
            </w:r>
          </w:p>
        </w:tc>
        <w:tc>
          <w:tcPr>
            <w:tcW w:w="590" w:type="pct"/>
            <w:noWrap/>
          </w:tcPr>
          <w:p w14:paraId="31BF7E5E" w14:textId="5F76D919" w:rsidR="005646C3" w:rsidRPr="00A5344E" w:rsidRDefault="005646C3" w:rsidP="005646C3">
            <w:pPr>
              <w:pStyle w:val="Tabellentext"/>
              <w:jc w:val="right"/>
              <w:rPr>
                <w:rFonts w:asciiTheme="majorHAnsi" w:hAnsiTheme="majorHAnsi" w:cstheme="majorHAnsi"/>
              </w:rPr>
            </w:pPr>
            <w:r>
              <w:rPr>
                <w:rFonts w:asciiTheme="majorHAnsi" w:hAnsiTheme="majorHAnsi"/>
              </w:rPr>
              <w:t>1,28</w:t>
            </w:r>
          </w:p>
        </w:tc>
        <w:tc>
          <w:tcPr>
            <w:tcW w:w="642" w:type="pct"/>
            <w:noWrap/>
          </w:tcPr>
          <w:p w14:paraId="1A5F9D91" w14:textId="03D35FCD" w:rsidR="005646C3" w:rsidRPr="00A5344E" w:rsidRDefault="005646C3" w:rsidP="005646C3">
            <w:pPr>
              <w:pStyle w:val="Tabellentext"/>
              <w:jc w:val="right"/>
              <w:rPr>
                <w:rFonts w:asciiTheme="majorHAnsi" w:hAnsiTheme="majorHAnsi" w:cstheme="majorHAnsi"/>
              </w:rPr>
            </w:pPr>
            <w:r>
              <w:rPr>
                <w:rFonts w:asciiTheme="majorHAnsi" w:hAnsiTheme="majorHAnsi"/>
              </w:rPr>
              <w:t>1,56</w:t>
            </w:r>
          </w:p>
        </w:tc>
        <w:tc>
          <w:tcPr>
            <w:tcW w:w="558" w:type="pct"/>
            <w:noWrap/>
          </w:tcPr>
          <w:p w14:paraId="612C7DBE" w14:textId="5C6D20E0" w:rsidR="005646C3" w:rsidRPr="00A5344E" w:rsidRDefault="005646C3" w:rsidP="005646C3">
            <w:pPr>
              <w:pStyle w:val="Tabellentext"/>
              <w:jc w:val="right"/>
              <w:rPr>
                <w:rFonts w:asciiTheme="majorHAnsi" w:hAnsiTheme="majorHAnsi" w:cstheme="majorHAnsi"/>
              </w:rPr>
            </w:pPr>
            <w:r>
              <w:rPr>
                <w:rFonts w:asciiTheme="majorHAnsi" w:hAnsiTheme="majorHAnsi"/>
              </w:rPr>
              <w:t>2,26</w:t>
            </w:r>
          </w:p>
        </w:tc>
        <w:tc>
          <w:tcPr>
            <w:tcW w:w="523" w:type="pct"/>
            <w:noWrap/>
          </w:tcPr>
          <w:p w14:paraId="02E0D977" w14:textId="65C8191C" w:rsidR="005646C3" w:rsidRPr="00A5344E" w:rsidRDefault="005646C3" w:rsidP="005646C3">
            <w:pPr>
              <w:pStyle w:val="Tabellentext"/>
              <w:jc w:val="right"/>
              <w:rPr>
                <w:rFonts w:asciiTheme="majorHAnsi" w:hAnsiTheme="majorHAnsi" w:cstheme="majorHAnsi"/>
              </w:rPr>
            </w:pPr>
            <w:r>
              <w:rPr>
                <w:rFonts w:asciiTheme="majorHAnsi" w:hAnsiTheme="majorHAnsi"/>
              </w:rPr>
              <w:t>2,86</w:t>
            </w:r>
          </w:p>
        </w:tc>
        <w:tc>
          <w:tcPr>
            <w:tcW w:w="597" w:type="pct"/>
          </w:tcPr>
          <w:p w14:paraId="07034BE1" w14:textId="468E1F9F" w:rsidR="005646C3" w:rsidRPr="00A5344E" w:rsidRDefault="005646C3" w:rsidP="005646C3">
            <w:pPr>
              <w:pStyle w:val="Tabellentext"/>
              <w:jc w:val="right"/>
              <w:rPr>
                <w:rFonts w:asciiTheme="majorHAnsi" w:hAnsiTheme="majorHAnsi" w:cstheme="majorHAnsi"/>
              </w:rPr>
            </w:pPr>
            <w:r>
              <w:rPr>
                <w:rFonts w:asciiTheme="majorHAnsi" w:hAnsiTheme="majorHAnsi"/>
              </w:rPr>
              <w:t>1,38</w:t>
            </w:r>
          </w:p>
        </w:tc>
      </w:tr>
      <w:tr w:rsidR="00B144C2" w:rsidRPr="00A5344E" w14:paraId="152F5541" w14:textId="77777777" w:rsidTr="00B144C2">
        <w:trPr>
          <w:cnfStyle w:val="000000100000" w:firstRow="0" w:lastRow="0" w:firstColumn="0" w:lastColumn="0" w:oddVBand="0" w:evenVBand="0" w:oddHBand="1" w:evenHBand="0" w:firstRowFirstColumn="0" w:firstRowLastColumn="0" w:lastRowFirstColumn="0" w:lastRowLastColumn="0"/>
          <w:trHeight w:val="330"/>
        </w:trPr>
        <w:tc>
          <w:tcPr>
            <w:tcW w:w="1492" w:type="pct"/>
            <w:noWrap/>
          </w:tcPr>
          <w:p w14:paraId="413C6601" w14:textId="070D414A" w:rsidR="005646C3" w:rsidRPr="00A5344E" w:rsidRDefault="005646C3" w:rsidP="005646C3">
            <w:pPr>
              <w:pStyle w:val="Tabellentext"/>
              <w:rPr>
                <w:rFonts w:asciiTheme="majorHAnsi" w:hAnsiTheme="majorHAnsi" w:cstheme="majorHAnsi"/>
                <w:b/>
                <w:bCs/>
              </w:rPr>
            </w:pPr>
            <w:r>
              <w:rPr>
                <w:rFonts w:asciiTheme="majorHAnsi" w:hAnsiTheme="majorHAnsi"/>
              </w:rPr>
              <w:t>Nombre de communes</w:t>
            </w:r>
          </w:p>
        </w:tc>
        <w:tc>
          <w:tcPr>
            <w:tcW w:w="597" w:type="pct"/>
            <w:noWrap/>
          </w:tcPr>
          <w:p w14:paraId="45220433" w14:textId="5A7BEE30" w:rsidR="005646C3" w:rsidRPr="00A5344E" w:rsidRDefault="005646C3" w:rsidP="005646C3">
            <w:pPr>
              <w:pStyle w:val="Tabellentext"/>
              <w:jc w:val="right"/>
              <w:rPr>
                <w:rFonts w:asciiTheme="majorHAnsi" w:hAnsiTheme="majorHAnsi" w:cstheme="majorHAnsi"/>
              </w:rPr>
            </w:pPr>
            <w:r>
              <w:rPr>
                <w:rFonts w:asciiTheme="majorHAnsi" w:hAnsiTheme="majorHAnsi"/>
              </w:rPr>
              <w:t>18</w:t>
            </w:r>
          </w:p>
        </w:tc>
        <w:tc>
          <w:tcPr>
            <w:tcW w:w="590" w:type="pct"/>
            <w:noWrap/>
          </w:tcPr>
          <w:p w14:paraId="4507F3CA" w14:textId="094FB816" w:rsidR="005646C3" w:rsidRPr="00A5344E" w:rsidRDefault="005646C3" w:rsidP="005646C3">
            <w:pPr>
              <w:pStyle w:val="Tabellentext"/>
              <w:jc w:val="right"/>
              <w:rPr>
                <w:rFonts w:asciiTheme="majorHAnsi" w:hAnsiTheme="majorHAnsi" w:cstheme="majorHAnsi"/>
              </w:rPr>
            </w:pPr>
            <w:r>
              <w:rPr>
                <w:rFonts w:asciiTheme="majorHAnsi" w:hAnsiTheme="majorHAnsi"/>
              </w:rPr>
              <w:t>63</w:t>
            </w:r>
          </w:p>
        </w:tc>
        <w:tc>
          <w:tcPr>
            <w:tcW w:w="642" w:type="pct"/>
            <w:noWrap/>
          </w:tcPr>
          <w:p w14:paraId="5D206F5D" w14:textId="42A5235A" w:rsidR="005646C3" w:rsidRPr="00A5344E" w:rsidRDefault="005646C3" w:rsidP="005646C3">
            <w:pPr>
              <w:pStyle w:val="Tabellentext"/>
              <w:jc w:val="right"/>
              <w:rPr>
                <w:rFonts w:asciiTheme="majorHAnsi" w:hAnsiTheme="majorHAnsi" w:cstheme="majorHAnsi"/>
              </w:rPr>
            </w:pPr>
            <w:r>
              <w:rPr>
                <w:rFonts w:asciiTheme="majorHAnsi" w:hAnsiTheme="majorHAnsi"/>
              </w:rPr>
              <w:t>140</w:t>
            </w:r>
          </w:p>
        </w:tc>
        <w:tc>
          <w:tcPr>
            <w:tcW w:w="558" w:type="pct"/>
            <w:noWrap/>
          </w:tcPr>
          <w:p w14:paraId="405D1A9A" w14:textId="376C18A6" w:rsidR="005646C3" w:rsidRPr="00A5344E" w:rsidRDefault="005646C3" w:rsidP="005646C3">
            <w:pPr>
              <w:pStyle w:val="Tabellentext"/>
              <w:jc w:val="right"/>
              <w:rPr>
                <w:rFonts w:asciiTheme="majorHAnsi" w:hAnsiTheme="majorHAnsi" w:cstheme="majorHAnsi"/>
              </w:rPr>
            </w:pPr>
            <w:r>
              <w:rPr>
                <w:rFonts w:asciiTheme="majorHAnsi" w:hAnsiTheme="majorHAnsi"/>
              </w:rPr>
              <w:t>101</w:t>
            </w:r>
          </w:p>
        </w:tc>
        <w:tc>
          <w:tcPr>
            <w:tcW w:w="523" w:type="pct"/>
            <w:noWrap/>
          </w:tcPr>
          <w:p w14:paraId="4ED25B4A" w14:textId="4BCE7D8B" w:rsidR="005646C3" w:rsidRPr="00A5344E" w:rsidRDefault="005646C3" w:rsidP="005646C3">
            <w:pPr>
              <w:pStyle w:val="Tabellentext"/>
              <w:jc w:val="right"/>
              <w:rPr>
                <w:rFonts w:asciiTheme="majorHAnsi" w:hAnsiTheme="majorHAnsi" w:cstheme="majorHAnsi"/>
              </w:rPr>
            </w:pPr>
            <w:r>
              <w:rPr>
                <w:rFonts w:asciiTheme="majorHAnsi" w:hAnsiTheme="majorHAnsi"/>
              </w:rPr>
              <w:t>15</w:t>
            </w:r>
          </w:p>
        </w:tc>
        <w:tc>
          <w:tcPr>
            <w:tcW w:w="597" w:type="pct"/>
          </w:tcPr>
          <w:p w14:paraId="7704FB73" w14:textId="30CC8D54" w:rsidR="005646C3" w:rsidRPr="00A5344E" w:rsidRDefault="005646C3" w:rsidP="005646C3">
            <w:pPr>
              <w:pStyle w:val="Tabellentext"/>
              <w:jc w:val="right"/>
              <w:rPr>
                <w:rFonts w:asciiTheme="majorHAnsi" w:hAnsiTheme="majorHAnsi" w:cstheme="majorHAnsi"/>
              </w:rPr>
            </w:pPr>
            <w:r>
              <w:rPr>
                <w:rFonts w:asciiTheme="majorHAnsi" w:hAnsiTheme="majorHAnsi"/>
              </w:rPr>
              <w:t>337</w:t>
            </w:r>
          </w:p>
        </w:tc>
      </w:tr>
      <w:tr w:rsidR="00B144C2" w:rsidRPr="00A5344E" w14:paraId="11CFD03E" w14:textId="77777777" w:rsidTr="00B144C2">
        <w:trPr>
          <w:cnfStyle w:val="000000010000" w:firstRow="0" w:lastRow="0" w:firstColumn="0" w:lastColumn="0" w:oddVBand="0" w:evenVBand="0" w:oddHBand="0" w:evenHBand="1" w:firstRowFirstColumn="0" w:firstRowLastColumn="0" w:lastRowFirstColumn="0" w:lastRowLastColumn="0"/>
          <w:trHeight w:val="330"/>
        </w:trPr>
        <w:tc>
          <w:tcPr>
            <w:tcW w:w="1492" w:type="pct"/>
            <w:noWrap/>
          </w:tcPr>
          <w:p w14:paraId="53E6566F" w14:textId="3C664279" w:rsidR="005646C3" w:rsidRPr="00A5344E" w:rsidRDefault="005646C3" w:rsidP="005646C3">
            <w:pPr>
              <w:pStyle w:val="Tabellentext"/>
              <w:rPr>
                <w:rFonts w:asciiTheme="majorHAnsi" w:hAnsiTheme="majorHAnsi" w:cstheme="majorHAnsi"/>
                <w:b/>
                <w:bCs/>
              </w:rPr>
            </w:pPr>
            <w:r>
              <w:rPr>
                <w:rFonts w:asciiTheme="majorHAnsi" w:hAnsiTheme="majorHAnsi"/>
              </w:rPr>
              <w:t>Nombre d’habitantes et habitants</w:t>
            </w:r>
          </w:p>
        </w:tc>
        <w:tc>
          <w:tcPr>
            <w:tcW w:w="597" w:type="pct"/>
            <w:noWrap/>
          </w:tcPr>
          <w:p w14:paraId="468EC687" w14:textId="40C02456" w:rsidR="005646C3" w:rsidRPr="00A5344E" w:rsidRDefault="005646C3" w:rsidP="005646C3">
            <w:pPr>
              <w:pStyle w:val="Tabellentext"/>
              <w:jc w:val="right"/>
              <w:rPr>
                <w:rFonts w:asciiTheme="majorHAnsi" w:hAnsiTheme="majorHAnsi" w:cstheme="majorHAnsi"/>
              </w:rPr>
            </w:pPr>
            <w:r>
              <w:rPr>
                <w:rFonts w:asciiTheme="majorHAnsi" w:hAnsiTheme="majorHAnsi"/>
              </w:rPr>
              <w:t>59 751</w:t>
            </w:r>
          </w:p>
        </w:tc>
        <w:tc>
          <w:tcPr>
            <w:tcW w:w="590" w:type="pct"/>
            <w:noWrap/>
          </w:tcPr>
          <w:p w14:paraId="6E62F997" w14:textId="51BCF1C0" w:rsidR="005646C3" w:rsidRPr="00A5344E" w:rsidRDefault="005646C3" w:rsidP="005646C3">
            <w:pPr>
              <w:pStyle w:val="Tabellentext"/>
              <w:jc w:val="right"/>
              <w:rPr>
                <w:rFonts w:asciiTheme="majorHAnsi" w:hAnsiTheme="majorHAnsi" w:cstheme="majorHAnsi"/>
              </w:rPr>
            </w:pPr>
            <w:r>
              <w:rPr>
                <w:rFonts w:asciiTheme="majorHAnsi" w:hAnsiTheme="majorHAnsi"/>
              </w:rPr>
              <w:t>356 075</w:t>
            </w:r>
          </w:p>
        </w:tc>
        <w:tc>
          <w:tcPr>
            <w:tcW w:w="642" w:type="pct"/>
            <w:noWrap/>
          </w:tcPr>
          <w:p w14:paraId="660DF9CF" w14:textId="220E23ED" w:rsidR="005646C3" w:rsidRPr="00A5344E" w:rsidRDefault="005646C3" w:rsidP="005646C3">
            <w:pPr>
              <w:pStyle w:val="Tabellentext"/>
              <w:jc w:val="right"/>
              <w:rPr>
                <w:rFonts w:asciiTheme="majorHAnsi" w:hAnsiTheme="majorHAnsi" w:cstheme="majorHAnsi"/>
              </w:rPr>
            </w:pPr>
            <w:r>
              <w:rPr>
                <w:rFonts w:asciiTheme="majorHAnsi" w:hAnsiTheme="majorHAnsi"/>
              </w:rPr>
              <w:t>469 856</w:t>
            </w:r>
          </w:p>
        </w:tc>
        <w:tc>
          <w:tcPr>
            <w:tcW w:w="558" w:type="pct"/>
            <w:noWrap/>
          </w:tcPr>
          <w:p w14:paraId="41356007" w14:textId="6EC9C32C" w:rsidR="005646C3" w:rsidRPr="00A5344E" w:rsidRDefault="005646C3" w:rsidP="005646C3">
            <w:pPr>
              <w:pStyle w:val="Tabellentext"/>
              <w:jc w:val="right"/>
              <w:rPr>
                <w:rFonts w:asciiTheme="majorHAnsi" w:hAnsiTheme="majorHAnsi" w:cstheme="majorHAnsi"/>
              </w:rPr>
            </w:pPr>
            <w:r>
              <w:rPr>
                <w:rFonts w:asciiTheme="majorHAnsi" w:hAnsiTheme="majorHAnsi"/>
              </w:rPr>
              <w:t>154 947</w:t>
            </w:r>
          </w:p>
        </w:tc>
        <w:tc>
          <w:tcPr>
            <w:tcW w:w="523" w:type="pct"/>
            <w:noWrap/>
          </w:tcPr>
          <w:p w14:paraId="37B1C09D" w14:textId="48BE8F33" w:rsidR="005646C3" w:rsidRPr="00A5344E" w:rsidRDefault="005646C3" w:rsidP="005646C3">
            <w:pPr>
              <w:pStyle w:val="Tabellentext"/>
              <w:jc w:val="right"/>
              <w:rPr>
                <w:rFonts w:asciiTheme="majorHAnsi" w:hAnsiTheme="majorHAnsi" w:cstheme="majorHAnsi"/>
              </w:rPr>
            </w:pPr>
            <w:r>
              <w:rPr>
                <w:rFonts w:asciiTheme="majorHAnsi" w:hAnsiTheme="majorHAnsi"/>
              </w:rPr>
              <w:t>13 473</w:t>
            </w:r>
          </w:p>
        </w:tc>
        <w:tc>
          <w:tcPr>
            <w:tcW w:w="597" w:type="pct"/>
          </w:tcPr>
          <w:p w14:paraId="3937193B" w14:textId="7C913C60" w:rsidR="005646C3" w:rsidRPr="00A5344E" w:rsidRDefault="005646C3" w:rsidP="005646C3">
            <w:pPr>
              <w:pStyle w:val="Tabellentext"/>
              <w:jc w:val="right"/>
              <w:rPr>
                <w:rFonts w:asciiTheme="majorHAnsi" w:hAnsiTheme="majorHAnsi" w:cstheme="majorHAnsi"/>
              </w:rPr>
            </w:pPr>
            <w:r>
              <w:rPr>
                <w:rFonts w:asciiTheme="majorHAnsi" w:hAnsiTheme="majorHAnsi"/>
              </w:rPr>
              <w:t>1 054 102</w:t>
            </w:r>
          </w:p>
        </w:tc>
      </w:tr>
      <w:tr w:rsidR="00B144C2" w:rsidRPr="00A5344E" w14:paraId="1905CF99" w14:textId="77777777" w:rsidTr="00B144C2">
        <w:trPr>
          <w:cnfStyle w:val="000000100000" w:firstRow="0" w:lastRow="0" w:firstColumn="0" w:lastColumn="0" w:oddVBand="0" w:evenVBand="0" w:oddHBand="1" w:evenHBand="0" w:firstRowFirstColumn="0" w:firstRowLastColumn="0" w:lastRowFirstColumn="0" w:lastRowLastColumn="0"/>
          <w:trHeight w:val="330"/>
        </w:trPr>
        <w:tc>
          <w:tcPr>
            <w:tcW w:w="1492" w:type="pct"/>
            <w:noWrap/>
          </w:tcPr>
          <w:p w14:paraId="6C748BE6" w14:textId="0AE5FDD0" w:rsidR="005646C3" w:rsidRPr="00A5344E" w:rsidRDefault="005646C3" w:rsidP="005646C3">
            <w:pPr>
              <w:pStyle w:val="Tabellentext"/>
              <w:rPr>
                <w:rFonts w:asciiTheme="majorHAnsi" w:hAnsiTheme="majorHAnsi" w:cstheme="majorHAnsi"/>
                <w:b/>
                <w:bCs/>
              </w:rPr>
            </w:pPr>
            <w:r>
              <w:rPr>
                <w:rFonts w:asciiTheme="majorHAnsi" w:hAnsiTheme="majorHAnsi"/>
              </w:rPr>
              <w:t>Augmentation par personne</w:t>
            </w:r>
          </w:p>
        </w:tc>
        <w:tc>
          <w:tcPr>
            <w:tcW w:w="597" w:type="pct"/>
            <w:noWrap/>
          </w:tcPr>
          <w:p w14:paraId="4E27EB4B" w14:textId="4E3A18E9" w:rsidR="005646C3" w:rsidRPr="00A5344E" w:rsidRDefault="005646C3" w:rsidP="005646C3">
            <w:pPr>
              <w:pStyle w:val="Tabellentext"/>
              <w:jc w:val="right"/>
              <w:rPr>
                <w:rFonts w:asciiTheme="majorHAnsi" w:hAnsiTheme="majorHAnsi" w:cstheme="majorHAnsi"/>
              </w:rPr>
            </w:pPr>
            <w:r>
              <w:rPr>
                <w:rFonts w:asciiTheme="majorHAnsi" w:hAnsiTheme="majorHAnsi"/>
              </w:rPr>
              <w:t>-39</w:t>
            </w:r>
          </w:p>
        </w:tc>
        <w:tc>
          <w:tcPr>
            <w:tcW w:w="590" w:type="pct"/>
            <w:noWrap/>
          </w:tcPr>
          <w:p w14:paraId="6C7A7615" w14:textId="47E109FF" w:rsidR="005646C3" w:rsidRPr="00A5344E" w:rsidRDefault="005646C3" w:rsidP="005646C3">
            <w:pPr>
              <w:pStyle w:val="Tabellentext"/>
              <w:jc w:val="right"/>
              <w:rPr>
                <w:rFonts w:asciiTheme="majorHAnsi" w:hAnsiTheme="majorHAnsi" w:cstheme="majorHAnsi"/>
              </w:rPr>
            </w:pPr>
            <w:r>
              <w:rPr>
                <w:rFonts w:asciiTheme="majorHAnsi" w:hAnsiTheme="majorHAnsi"/>
              </w:rPr>
              <w:t>237</w:t>
            </w:r>
          </w:p>
        </w:tc>
        <w:tc>
          <w:tcPr>
            <w:tcW w:w="642" w:type="pct"/>
            <w:noWrap/>
          </w:tcPr>
          <w:p w14:paraId="3110FBAA" w14:textId="5D3E2586" w:rsidR="005646C3" w:rsidRPr="00A5344E" w:rsidRDefault="005646C3" w:rsidP="005646C3">
            <w:pPr>
              <w:pStyle w:val="Tabellentext"/>
              <w:jc w:val="right"/>
              <w:rPr>
                <w:rFonts w:asciiTheme="majorHAnsi" w:hAnsiTheme="majorHAnsi" w:cstheme="majorHAnsi"/>
              </w:rPr>
            </w:pPr>
            <w:r>
              <w:rPr>
                <w:rFonts w:asciiTheme="majorHAnsi" w:hAnsiTheme="majorHAnsi"/>
              </w:rPr>
              <w:t>226</w:t>
            </w:r>
          </w:p>
        </w:tc>
        <w:tc>
          <w:tcPr>
            <w:tcW w:w="558" w:type="pct"/>
            <w:noWrap/>
          </w:tcPr>
          <w:p w14:paraId="7393824B" w14:textId="0C6D38A5" w:rsidR="005646C3" w:rsidRPr="00A5344E" w:rsidRDefault="005646C3" w:rsidP="005646C3">
            <w:pPr>
              <w:pStyle w:val="Tabellentext"/>
              <w:jc w:val="right"/>
              <w:rPr>
                <w:rFonts w:asciiTheme="majorHAnsi" w:hAnsiTheme="majorHAnsi" w:cstheme="majorHAnsi"/>
              </w:rPr>
            </w:pPr>
            <w:r>
              <w:rPr>
                <w:rFonts w:asciiTheme="majorHAnsi" w:hAnsiTheme="majorHAnsi"/>
              </w:rPr>
              <w:t>269</w:t>
            </w:r>
          </w:p>
        </w:tc>
        <w:tc>
          <w:tcPr>
            <w:tcW w:w="523" w:type="pct"/>
            <w:noWrap/>
          </w:tcPr>
          <w:p w14:paraId="7CFA79C5" w14:textId="3441116C" w:rsidR="005646C3" w:rsidRPr="00A5344E" w:rsidRDefault="005646C3" w:rsidP="005646C3">
            <w:pPr>
              <w:pStyle w:val="Tabellentext"/>
              <w:jc w:val="right"/>
              <w:rPr>
                <w:rFonts w:asciiTheme="majorHAnsi" w:hAnsiTheme="majorHAnsi" w:cstheme="majorHAnsi"/>
              </w:rPr>
            </w:pPr>
            <w:r>
              <w:rPr>
                <w:rFonts w:asciiTheme="majorHAnsi" w:hAnsiTheme="majorHAnsi"/>
              </w:rPr>
              <w:t>325</w:t>
            </w:r>
          </w:p>
        </w:tc>
        <w:tc>
          <w:tcPr>
            <w:tcW w:w="597" w:type="pct"/>
          </w:tcPr>
          <w:p w14:paraId="301E6497" w14:textId="7F7EF7A5" w:rsidR="005646C3" w:rsidRPr="00A5344E" w:rsidRDefault="005646C3" w:rsidP="005646C3">
            <w:pPr>
              <w:pStyle w:val="Tabellentext"/>
              <w:jc w:val="right"/>
              <w:rPr>
                <w:rFonts w:asciiTheme="majorHAnsi" w:hAnsiTheme="majorHAnsi" w:cstheme="majorHAnsi"/>
              </w:rPr>
            </w:pPr>
            <w:r>
              <w:rPr>
                <w:rFonts w:asciiTheme="majorHAnsi" w:hAnsiTheme="majorHAnsi"/>
              </w:rPr>
              <w:t>222</w:t>
            </w:r>
          </w:p>
        </w:tc>
      </w:tr>
    </w:tbl>
    <w:p w14:paraId="09EC1C66" w14:textId="77777777" w:rsidR="005646C3" w:rsidRPr="00A5344E" w:rsidRDefault="005646C3" w:rsidP="00DC432E">
      <w:pPr>
        <w:pStyle w:val="Textkrper"/>
        <w:spacing w:line="270" w:lineRule="atLeast"/>
        <w:rPr>
          <w:rFonts w:asciiTheme="majorHAnsi" w:hAnsiTheme="majorHAnsi" w:cstheme="majorHAnsi"/>
          <w:highlight w:val="yellow"/>
        </w:rPr>
      </w:pPr>
    </w:p>
    <w:p w14:paraId="05240D0E" w14:textId="2B832197" w:rsidR="00406B6D" w:rsidRPr="00A5344E" w:rsidRDefault="001E0DF4" w:rsidP="001E0DF4">
      <w:pPr>
        <w:pStyle w:val="berschrift2nummeriert"/>
        <w:rPr>
          <w:rFonts w:cstheme="majorHAnsi"/>
        </w:rPr>
      </w:pPr>
      <w:bookmarkStart w:id="50" w:name="_Ref185250214"/>
      <w:bookmarkStart w:id="51" w:name="_Toc196227260"/>
      <w:r>
        <w:t>Vue d</w:t>
      </w:r>
      <w:r w:rsidR="00AB2901">
        <w:t>’</w:t>
      </w:r>
      <w:r>
        <w:t>ensemble des résultats de l’exercice 2023 des communes</w:t>
      </w:r>
      <w:bookmarkEnd w:id="50"/>
      <w:bookmarkEnd w:id="51"/>
    </w:p>
    <w:p w14:paraId="04A2D1E3" w14:textId="35B10DD4" w:rsidR="00406B6D" w:rsidRDefault="00406B6D" w:rsidP="00A513C6">
      <w:pPr>
        <w:pStyle w:val="Beschriftung"/>
        <w:keepNext/>
        <w:rPr>
          <w:rFonts w:asciiTheme="majorHAnsi" w:hAnsiTheme="majorHAnsi"/>
          <w:b/>
        </w:rPr>
      </w:pPr>
      <w:r>
        <w:rPr>
          <w:rFonts w:asciiTheme="majorHAnsi" w:hAnsiTheme="majorHAnsi"/>
          <w:b/>
        </w:rPr>
        <w:t>Illustration 13 :</w:t>
      </w:r>
      <w:r>
        <w:rPr>
          <w:rFonts w:asciiTheme="majorHAnsi" w:hAnsiTheme="majorHAnsi"/>
          <w:b/>
        </w:rPr>
        <w:tab/>
        <w:t>Solde du compte de résultats de 2023 (compte général) : par catégorie d’IRH ;</w:t>
      </w:r>
      <w:r>
        <w:rPr>
          <w:rFonts w:asciiTheme="majorHAnsi" w:hAnsiTheme="majorHAnsi"/>
          <w:b/>
        </w:rPr>
        <w:br/>
      </w:r>
      <w:r>
        <w:rPr>
          <w:rFonts w:asciiTheme="majorHAnsi" w:hAnsiTheme="majorHAnsi"/>
          <w:b/>
        </w:rPr>
        <w:tab/>
      </w:r>
      <w:r>
        <w:rPr>
          <w:rFonts w:asciiTheme="majorHAnsi" w:hAnsiTheme="majorHAnsi"/>
          <w:b/>
        </w:rPr>
        <w:tab/>
        <w:t>en CHF / nombre de communes / dixièmes de quotité d’impôt (dQI)</w:t>
      </w:r>
    </w:p>
    <w:tbl>
      <w:tblPr>
        <w:tblW w:w="4979"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57" w:type="dxa"/>
          <w:right w:w="57" w:type="dxa"/>
        </w:tblCellMar>
        <w:tblLook w:val="04A0" w:firstRow="1" w:lastRow="0" w:firstColumn="1" w:lastColumn="0" w:noHBand="0" w:noVBand="1"/>
      </w:tblPr>
      <w:tblGrid>
        <w:gridCol w:w="837"/>
        <w:gridCol w:w="992"/>
        <w:gridCol w:w="709"/>
        <w:gridCol w:w="913"/>
        <w:gridCol w:w="930"/>
        <w:gridCol w:w="708"/>
        <w:gridCol w:w="851"/>
        <w:gridCol w:w="709"/>
        <w:gridCol w:w="850"/>
        <w:gridCol w:w="709"/>
        <w:gridCol w:w="850"/>
        <w:gridCol w:w="709"/>
      </w:tblGrid>
      <w:tr w:rsidR="00F362F0" w:rsidRPr="00AB2901" w14:paraId="5897CB27" w14:textId="77777777" w:rsidTr="00F362F0">
        <w:trPr>
          <w:trHeight w:val="329"/>
        </w:trPr>
        <w:tc>
          <w:tcPr>
            <w:tcW w:w="836" w:type="dxa"/>
            <w:shd w:val="clear" w:color="000000" w:fill="A8BBC5" w:themeFill="accent1" w:themeFillTint="66"/>
            <w:hideMark/>
          </w:tcPr>
          <w:p w14:paraId="4C3A6FEF" w14:textId="6368A518" w:rsidR="00AB2901" w:rsidRPr="00AB2901" w:rsidRDefault="00AB2901" w:rsidP="005E1EFF">
            <w:pPr>
              <w:pStyle w:val="Tabellentext"/>
              <w:rPr>
                <w:rFonts w:asciiTheme="majorHAnsi" w:hAnsiTheme="majorHAnsi" w:cstheme="majorHAnsi"/>
                <w:b/>
                <w:bCs/>
                <w:noProof/>
                <w:sz w:val="15"/>
                <w:szCs w:val="15"/>
              </w:rPr>
            </w:pPr>
            <w:r w:rsidRPr="00AB2901">
              <w:rPr>
                <w:rFonts w:asciiTheme="majorHAnsi" w:hAnsiTheme="majorHAnsi" w:cstheme="majorHAnsi"/>
                <w:b/>
                <w:bCs/>
                <w:noProof/>
                <w:sz w:val="15"/>
                <w:szCs w:val="15"/>
              </w:rPr>
              <w:t>Catégorie d’IRH</w:t>
            </w:r>
          </w:p>
        </w:tc>
        <w:tc>
          <w:tcPr>
            <w:tcW w:w="992" w:type="dxa"/>
            <w:shd w:val="clear" w:color="000000" w:fill="A8BBC5" w:themeFill="accent1" w:themeFillTint="66"/>
            <w:hideMark/>
          </w:tcPr>
          <w:p w14:paraId="78E4FEC9" w14:textId="3BA356C4"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dQI</w:t>
            </w:r>
            <w:r w:rsidRPr="00AB2901">
              <w:rPr>
                <w:rFonts w:asciiTheme="majorHAnsi" w:hAnsiTheme="majorHAnsi" w:cstheme="majorHAnsi"/>
                <w:b/>
                <w:bCs/>
                <w:noProof/>
                <w:sz w:val="15"/>
                <w:szCs w:val="15"/>
              </w:rPr>
              <w:br/>
              <w:t xml:space="preserve"> &gt; 0</w:t>
            </w:r>
          </w:p>
        </w:tc>
        <w:tc>
          <w:tcPr>
            <w:tcW w:w="709" w:type="dxa"/>
            <w:shd w:val="clear" w:color="000000" w:fill="A8BBC5" w:themeFill="accent1" w:themeFillTint="66"/>
            <w:hideMark/>
          </w:tcPr>
          <w:p w14:paraId="040F527E" w14:textId="4AAEBBF0"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Nb.</w:t>
            </w:r>
            <w:r w:rsidRPr="00AB2901">
              <w:rPr>
                <w:rFonts w:asciiTheme="majorHAnsi" w:hAnsiTheme="majorHAnsi" w:cstheme="majorHAnsi"/>
                <w:b/>
                <w:bCs/>
                <w:noProof/>
                <w:sz w:val="15"/>
                <w:szCs w:val="15"/>
              </w:rPr>
              <w:br/>
              <w:t>comm.</w:t>
            </w:r>
          </w:p>
        </w:tc>
        <w:tc>
          <w:tcPr>
            <w:tcW w:w="913" w:type="dxa"/>
            <w:shd w:val="clear" w:color="000000" w:fill="A8BBC5" w:themeFill="accent1" w:themeFillTint="66"/>
            <w:hideMark/>
          </w:tcPr>
          <w:p w14:paraId="5ADC6DC9" w14:textId="31210363"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Nb. comm.</w:t>
            </w:r>
            <w:r w:rsidRPr="00AB2901">
              <w:rPr>
                <w:rFonts w:asciiTheme="majorHAnsi" w:hAnsiTheme="majorHAnsi" w:cstheme="majorHAnsi"/>
                <w:b/>
                <w:bCs/>
                <w:noProof/>
                <w:sz w:val="15"/>
                <w:szCs w:val="15"/>
              </w:rPr>
              <w:br/>
              <w:t>dQI 0</w:t>
            </w:r>
          </w:p>
        </w:tc>
        <w:tc>
          <w:tcPr>
            <w:tcW w:w="930" w:type="dxa"/>
            <w:shd w:val="clear" w:color="000000" w:fill="A8BBC5" w:themeFill="accent1" w:themeFillTint="66"/>
            <w:hideMark/>
          </w:tcPr>
          <w:p w14:paraId="556C92D5" w14:textId="1A2ED0A6"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dQI</w:t>
            </w:r>
            <w:r w:rsidRPr="00AB2901">
              <w:rPr>
                <w:rFonts w:asciiTheme="majorHAnsi" w:hAnsiTheme="majorHAnsi" w:cstheme="majorHAnsi"/>
                <w:b/>
                <w:bCs/>
                <w:noProof/>
                <w:sz w:val="15"/>
                <w:szCs w:val="15"/>
              </w:rPr>
              <w:br/>
              <w:t>&lt; 0 &gt;-1</w:t>
            </w:r>
          </w:p>
        </w:tc>
        <w:tc>
          <w:tcPr>
            <w:tcW w:w="708" w:type="dxa"/>
            <w:shd w:val="clear" w:color="000000" w:fill="A8BBC5" w:themeFill="accent1" w:themeFillTint="66"/>
            <w:hideMark/>
          </w:tcPr>
          <w:p w14:paraId="4149D4EA" w14:textId="03EEC51F"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Nb.</w:t>
            </w:r>
            <w:r w:rsidRPr="00AB2901">
              <w:rPr>
                <w:rFonts w:asciiTheme="majorHAnsi" w:hAnsiTheme="majorHAnsi" w:cstheme="majorHAnsi"/>
                <w:b/>
                <w:bCs/>
                <w:noProof/>
                <w:sz w:val="15"/>
                <w:szCs w:val="15"/>
              </w:rPr>
              <w:br/>
              <w:t>comm.</w:t>
            </w:r>
          </w:p>
        </w:tc>
        <w:tc>
          <w:tcPr>
            <w:tcW w:w="851" w:type="dxa"/>
            <w:shd w:val="clear" w:color="000000" w:fill="A8BBC5" w:themeFill="accent1" w:themeFillTint="66"/>
            <w:hideMark/>
          </w:tcPr>
          <w:p w14:paraId="4879DF30" w14:textId="06F718D6"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dQI</w:t>
            </w:r>
            <w:r w:rsidRPr="00AB2901">
              <w:rPr>
                <w:rFonts w:asciiTheme="majorHAnsi" w:hAnsiTheme="majorHAnsi" w:cstheme="majorHAnsi"/>
                <w:b/>
                <w:bCs/>
                <w:noProof/>
                <w:sz w:val="15"/>
                <w:szCs w:val="15"/>
              </w:rPr>
              <w:br/>
              <w:t>&lt;-1 &gt;-2</w:t>
            </w:r>
          </w:p>
        </w:tc>
        <w:tc>
          <w:tcPr>
            <w:tcW w:w="709" w:type="dxa"/>
            <w:shd w:val="clear" w:color="000000" w:fill="A8BBC5" w:themeFill="accent1" w:themeFillTint="66"/>
            <w:hideMark/>
          </w:tcPr>
          <w:p w14:paraId="06740789" w14:textId="66A51B5B"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Nb.</w:t>
            </w:r>
            <w:r w:rsidRPr="00AB2901">
              <w:rPr>
                <w:rFonts w:asciiTheme="majorHAnsi" w:hAnsiTheme="majorHAnsi" w:cstheme="majorHAnsi"/>
                <w:b/>
                <w:bCs/>
                <w:noProof/>
                <w:sz w:val="15"/>
                <w:szCs w:val="15"/>
              </w:rPr>
              <w:br/>
              <w:t>comm.</w:t>
            </w:r>
          </w:p>
        </w:tc>
        <w:tc>
          <w:tcPr>
            <w:tcW w:w="850" w:type="dxa"/>
            <w:shd w:val="clear" w:color="000000" w:fill="A8BBC5" w:themeFill="accent1" w:themeFillTint="66"/>
            <w:hideMark/>
          </w:tcPr>
          <w:p w14:paraId="2C51D71B" w14:textId="7BD6D5BF"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dQI</w:t>
            </w:r>
            <w:r w:rsidRPr="00AB2901">
              <w:rPr>
                <w:rFonts w:asciiTheme="majorHAnsi" w:hAnsiTheme="majorHAnsi" w:cstheme="majorHAnsi"/>
                <w:b/>
                <w:bCs/>
                <w:noProof/>
                <w:sz w:val="15"/>
                <w:szCs w:val="15"/>
              </w:rPr>
              <w:br/>
              <w:t>&lt;-2&gt;-3</w:t>
            </w:r>
          </w:p>
        </w:tc>
        <w:tc>
          <w:tcPr>
            <w:tcW w:w="709" w:type="dxa"/>
            <w:shd w:val="clear" w:color="000000" w:fill="A8BBC5" w:themeFill="accent1" w:themeFillTint="66"/>
            <w:hideMark/>
          </w:tcPr>
          <w:p w14:paraId="5AB5F375" w14:textId="523BE6F2"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Nb.</w:t>
            </w:r>
            <w:r w:rsidRPr="00AB2901">
              <w:rPr>
                <w:rFonts w:asciiTheme="majorHAnsi" w:hAnsiTheme="majorHAnsi" w:cstheme="majorHAnsi"/>
                <w:b/>
                <w:bCs/>
                <w:noProof/>
                <w:sz w:val="15"/>
                <w:szCs w:val="15"/>
              </w:rPr>
              <w:br/>
              <w:t>comm.</w:t>
            </w:r>
          </w:p>
        </w:tc>
        <w:tc>
          <w:tcPr>
            <w:tcW w:w="850" w:type="dxa"/>
            <w:shd w:val="clear" w:color="000000" w:fill="A8BBC5" w:themeFill="accent1" w:themeFillTint="66"/>
            <w:hideMark/>
          </w:tcPr>
          <w:p w14:paraId="1149C8BE" w14:textId="0DF9F45F"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dQI</w:t>
            </w:r>
            <w:r w:rsidRPr="00AB2901">
              <w:rPr>
                <w:rFonts w:asciiTheme="majorHAnsi" w:hAnsiTheme="majorHAnsi" w:cstheme="majorHAnsi"/>
                <w:b/>
                <w:bCs/>
                <w:noProof/>
                <w:sz w:val="15"/>
                <w:szCs w:val="15"/>
              </w:rPr>
              <w:br/>
              <w:t>&lt;-3</w:t>
            </w:r>
          </w:p>
        </w:tc>
        <w:tc>
          <w:tcPr>
            <w:tcW w:w="709" w:type="dxa"/>
            <w:shd w:val="clear" w:color="000000" w:fill="A8BBC5" w:themeFill="accent1" w:themeFillTint="66"/>
            <w:hideMark/>
          </w:tcPr>
          <w:p w14:paraId="56A6D074" w14:textId="45B68663" w:rsidR="00AB2901" w:rsidRPr="00AB2901" w:rsidRDefault="00AB2901" w:rsidP="005E1EFF">
            <w:pPr>
              <w:pStyle w:val="Tabellentext"/>
              <w:jc w:val="right"/>
              <w:rPr>
                <w:rFonts w:asciiTheme="majorHAnsi" w:hAnsiTheme="majorHAnsi" w:cstheme="majorHAnsi"/>
                <w:b/>
                <w:bCs/>
                <w:noProof/>
                <w:sz w:val="15"/>
                <w:szCs w:val="15"/>
              </w:rPr>
            </w:pPr>
            <w:r w:rsidRPr="00AB2901">
              <w:rPr>
                <w:rFonts w:asciiTheme="majorHAnsi" w:hAnsiTheme="majorHAnsi" w:cstheme="majorHAnsi"/>
                <w:b/>
                <w:bCs/>
                <w:noProof/>
                <w:sz w:val="15"/>
                <w:szCs w:val="15"/>
              </w:rPr>
              <w:t>Nb.</w:t>
            </w:r>
            <w:r w:rsidRPr="00AB2901">
              <w:rPr>
                <w:rFonts w:asciiTheme="majorHAnsi" w:hAnsiTheme="majorHAnsi" w:cstheme="majorHAnsi"/>
                <w:b/>
                <w:bCs/>
                <w:noProof/>
                <w:sz w:val="15"/>
                <w:szCs w:val="15"/>
              </w:rPr>
              <w:br/>
              <w:t>comm.</w:t>
            </w:r>
          </w:p>
        </w:tc>
      </w:tr>
      <w:tr w:rsidR="00F362F0" w:rsidRPr="00AB2901" w14:paraId="2D9BB3A5" w14:textId="77777777" w:rsidTr="00F362F0">
        <w:trPr>
          <w:trHeight w:val="329"/>
        </w:trPr>
        <w:tc>
          <w:tcPr>
            <w:tcW w:w="836" w:type="dxa"/>
            <w:shd w:val="clear" w:color="auto" w:fill="auto"/>
            <w:noWrap/>
            <w:vAlign w:val="center"/>
            <w:hideMark/>
          </w:tcPr>
          <w:p w14:paraId="52598F47" w14:textId="7D7658D0" w:rsidR="00AB2901" w:rsidRPr="00AB2901" w:rsidRDefault="00AB2901" w:rsidP="005E1EFF">
            <w:pPr>
              <w:spacing w:line="240" w:lineRule="auto"/>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&lt; 60</w:t>
            </w:r>
          </w:p>
        </w:tc>
        <w:tc>
          <w:tcPr>
            <w:tcW w:w="992" w:type="dxa"/>
            <w:shd w:val="clear" w:color="auto" w:fill="auto"/>
            <w:noWrap/>
            <w:vAlign w:val="center"/>
            <w:hideMark/>
          </w:tcPr>
          <w:p w14:paraId="50DA7726" w14:textId="0C42B76C"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2 899 808</w:t>
            </w:r>
          </w:p>
        </w:tc>
        <w:tc>
          <w:tcPr>
            <w:tcW w:w="709" w:type="dxa"/>
            <w:shd w:val="clear" w:color="auto" w:fill="auto"/>
            <w:noWrap/>
            <w:vAlign w:val="center"/>
            <w:hideMark/>
          </w:tcPr>
          <w:p w14:paraId="6819DD45" w14:textId="30DDB3B3"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21</w:t>
            </w:r>
          </w:p>
        </w:tc>
        <w:tc>
          <w:tcPr>
            <w:tcW w:w="913" w:type="dxa"/>
            <w:shd w:val="clear" w:color="auto" w:fill="auto"/>
            <w:noWrap/>
            <w:vAlign w:val="center"/>
            <w:hideMark/>
          </w:tcPr>
          <w:p w14:paraId="434A928F" w14:textId="3DFEFC0B"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9</w:t>
            </w:r>
          </w:p>
        </w:tc>
        <w:tc>
          <w:tcPr>
            <w:tcW w:w="930" w:type="dxa"/>
            <w:shd w:val="clear" w:color="auto" w:fill="auto"/>
            <w:noWrap/>
            <w:vAlign w:val="center"/>
            <w:hideMark/>
          </w:tcPr>
          <w:p w14:paraId="1EE54068" w14:textId="31BBE65E"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-51 827</w:t>
            </w:r>
          </w:p>
        </w:tc>
        <w:tc>
          <w:tcPr>
            <w:tcW w:w="708" w:type="dxa"/>
            <w:shd w:val="clear" w:color="auto" w:fill="auto"/>
            <w:noWrap/>
            <w:vAlign w:val="center"/>
            <w:hideMark/>
          </w:tcPr>
          <w:p w14:paraId="5BE4A20F" w14:textId="704FFFD3"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3</w:t>
            </w:r>
          </w:p>
        </w:tc>
        <w:tc>
          <w:tcPr>
            <w:tcW w:w="851" w:type="dxa"/>
            <w:shd w:val="clear" w:color="auto" w:fill="auto"/>
            <w:noWrap/>
            <w:vAlign w:val="center"/>
            <w:hideMark/>
          </w:tcPr>
          <w:p w14:paraId="6D29EFD7" w14:textId="6EB131AA"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-97 246</w:t>
            </w:r>
          </w:p>
        </w:tc>
        <w:tc>
          <w:tcPr>
            <w:tcW w:w="709" w:type="dxa"/>
            <w:shd w:val="clear" w:color="auto" w:fill="auto"/>
            <w:noWrap/>
            <w:vAlign w:val="center"/>
            <w:hideMark/>
          </w:tcPr>
          <w:p w14:paraId="7CE2F580" w14:textId="77A40E6E"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w:t>
            </w:r>
          </w:p>
        </w:tc>
        <w:tc>
          <w:tcPr>
            <w:tcW w:w="850" w:type="dxa"/>
            <w:shd w:val="clear" w:color="auto" w:fill="auto"/>
            <w:noWrap/>
            <w:vAlign w:val="center"/>
            <w:hideMark/>
          </w:tcPr>
          <w:p w14:paraId="29F12D02" w14:textId="56442E3D"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 xml:space="preserve">-  </w:t>
            </w:r>
          </w:p>
        </w:tc>
        <w:tc>
          <w:tcPr>
            <w:tcW w:w="709" w:type="dxa"/>
            <w:shd w:val="clear" w:color="auto" w:fill="auto"/>
            <w:noWrap/>
            <w:vAlign w:val="center"/>
            <w:hideMark/>
          </w:tcPr>
          <w:p w14:paraId="245862CC" w14:textId="1BE02160"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 xml:space="preserve">-  </w:t>
            </w:r>
          </w:p>
        </w:tc>
        <w:tc>
          <w:tcPr>
            <w:tcW w:w="850" w:type="dxa"/>
            <w:shd w:val="clear" w:color="auto" w:fill="auto"/>
            <w:noWrap/>
            <w:vAlign w:val="center"/>
            <w:hideMark/>
          </w:tcPr>
          <w:p w14:paraId="6DD2E102" w14:textId="10F69B5E"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-918 101</w:t>
            </w:r>
          </w:p>
        </w:tc>
        <w:tc>
          <w:tcPr>
            <w:tcW w:w="709" w:type="dxa"/>
            <w:shd w:val="clear" w:color="auto" w:fill="auto"/>
            <w:noWrap/>
            <w:vAlign w:val="center"/>
            <w:hideMark/>
          </w:tcPr>
          <w:p w14:paraId="4E0EECB5" w14:textId="3E8BDB94"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3</w:t>
            </w:r>
          </w:p>
        </w:tc>
      </w:tr>
      <w:tr w:rsidR="00F362F0" w:rsidRPr="00AB2901" w14:paraId="1733CC96" w14:textId="77777777" w:rsidTr="00F362F0">
        <w:trPr>
          <w:trHeight w:val="329"/>
        </w:trPr>
        <w:tc>
          <w:tcPr>
            <w:tcW w:w="836" w:type="dxa"/>
            <w:shd w:val="clear" w:color="auto" w:fill="auto"/>
            <w:noWrap/>
            <w:vAlign w:val="center"/>
            <w:hideMark/>
          </w:tcPr>
          <w:p w14:paraId="49479D41" w14:textId="6051A73C" w:rsidR="00AB2901" w:rsidRPr="00AB2901" w:rsidRDefault="00AB2901" w:rsidP="005E1EFF">
            <w:pPr>
              <w:spacing w:line="240" w:lineRule="auto"/>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&gt;60&lt;70</w:t>
            </w:r>
          </w:p>
        </w:tc>
        <w:tc>
          <w:tcPr>
            <w:tcW w:w="992" w:type="dxa"/>
            <w:shd w:val="clear" w:color="auto" w:fill="auto"/>
            <w:noWrap/>
            <w:vAlign w:val="center"/>
            <w:hideMark/>
          </w:tcPr>
          <w:p w14:paraId="5B68980F" w14:textId="1C3BBFD9"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11 473 920</w:t>
            </w:r>
          </w:p>
        </w:tc>
        <w:tc>
          <w:tcPr>
            <w:tcW w:w="709" w:type="dxa"/>
            <w:shd w:val="clear" w:color="auto" w:fill="auto"/>
            <w:noWrap/>
            <w:vAlign w:val="center"/>
            <w:hideMark/>
          </w:tcPr>
          <w:p w14:paraId="569E624C" w14:textId="6398C518"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27</w:t>
            </w:r>
          </w:p>
        </w:tc>
        <w:tc>
          <w:tcPr>
            <w:tcW w:w="913" w:type="dxa"/>
            <w:shd w:val="clear" w:color="auto" w:fill="auto"/>
            <w:noWrap/>
            <w:vAlign w:val="center"/>
            <w:hideMark/>
          </w:tcPr>
          <w:p w14:paraId="152DD833" w14:textId="58F532B9"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11</w:t>
            </w:r>
          </w:p>
        </w:tc>
        <w:tc>
          <w:tcPr>
            <w:tcW w:w="930" w:type="dxa"/>
            <w:shd w:val="clear" w:color="auto" w:fill="auto"/>
            <w:noWrap/>
            <w:vAlign w:val="center"/>
            <w:hideMark/>
          </w:tcPr>
          <w:p w14:paraId="1ACBE729" w14:textId="1F6910CF"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-94 703 </w:t>
            </w:r>
          </w:p>
        </w:tc>
        <w:tc>
          <w:tcPr>
            <w:tcW w:w="708" w:type="dxa"/>
            <w:shd w:val="clear" w:color="auto" w:fill="auto"/>
            <w:noWrap/>
            <w:vAlign w:val="center"/>
            <w:hideMark/>
          </w:tcPr>
          <w:p w14:paraId="1B6FC013" w14:textId="4B415005"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3</w:t>
            </w:r>
          </w:p>
        </w:tc>
        <w:tc>
          <w:tcPr>
            <w:tcW w:w="851" w:type="dxa"/>
            <w:shd w:val="clear" w:color="auto" w:fill="auto"/>
            <w:noWrap/>
            <w:vAlign w:val="center"/>
            <w:hideMark/>
          </w:tcPr>
          <w:p w14:paraId="29286AE0" w14:textId="210403CF"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-227 466</w:t>
            </w:r>
          </w:p>
        </w:tc>
        <w:tc>
          <w:tcPr>
            <w:tcW w:w="709" w:type="dxa"/>
            <w:shd w:val="clear" w:color="auto" w:fill="auto"/>
            <w:noWrap/>
            <w:vAlign w:val="center"/>
            <w:hideMark/>
          </w:tcPr>
          <w:p w14:paraId="0E98E247" w14:textId="48484CEA"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w:t>
            </w:r>
          </w:p>
        </w:tc>
        <w:tc>
          <w:tcPr>
            <w:tcW w:w="850" w:type="dxa"/>
            <w:shd w:val="clear" w:color="auto" w:fill="auto"/>
            <w:noWrap/>
            <w:vAlign w:val="center"/>
            <w:hideMark/>
          </w:tcPr>
          <w:p w14:paraId="1A2D7B89" w14:textId="35953754"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 xml:space="preserve">-  </w:t>
            </w:r>
          </w:p>
        </w:tc>
        <w:tc>
          <w:tcPr>
            <w:tcW w:w="709" w:type="dxa"/>
            <w:shd w:val="clear" w:color="auto" w:fill="auto"/>
            <w:noWrap/>
            <w:vAlign w:val="center"/>
            <w:hideMark/>
          </w:tcPr>
          <w:p w14:paraId="5DE90405" w14:textId="7B89DDCB"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 xml:space="preserve">-   </w:t>
            </w:r>
          </w:p>
        </w:tc>
        <w:tc>
          <w:tcPr>
            <w:tcW w:w="850" w:type="dxa"/>
            <w:shd w:val="clear" w:color="auto" w:fill="auto"/>
            <w:noWrap/>
            <w:vAlign w:val="center"/>
            <w:hideMark/>
          </w:tcPr>
          <w:p w14:paraId="4F4C1812" w14:textId="5C6DB628"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-127 831</w:t>
            </w:r>
          </w:p>
        </w:tc>
        <w:tc>
          <w:tcPr>
            <w:tcW w:w="709" w:type="dxa"/>
            <w:shd w:val="clear" w:color="auto" w:fill="auto"/>
            <w:noWrap/>
            <w:vAlign w:val="center"/>
            <w:hideMark/>
          </w:tcPr>
          <w:p w14:paraId="354445BA" w14:textId="4053F54B"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w:t>
            </w:r>
          </w:p>
        </w:tc>
      </w:tr>
      <w:tr w:rsidR="00F362F0" w:rsidRPr="00AB2901" w14:paraId="154B1D9F" w14:textId="77777777" w:rsidTr="00F362F0">
        <w:trPr>
          <w:trHeight w:val="329"/>
        </w:trPr>
        <w:tc>
          <w:tcPr>
            <w:tcW w:w="836" w:type="dxa"/>
            <w:shd w:val="clear" w:color="auto" w:fill="auto"/>
            <w:noWrap/>
            <w:vAlign w:val="center"/>
            <w:hideMark/>
          </w:tcPr>
          <w:p w14:paraId="393C4C11" w14:textId="7CFB5B3F" w:rsidR="00AB2901" w:rsidRPr="00AB2901" w:rsidRDefault="00AB2901" w:rsidP="005E1EFF">
            <w:pPr>
              <w:spacing w:line="240" w:lineRule="auto"/>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&gt;70&lt;80</w:t>
            </w:r>
          </w:p>
        </w:tc>
        <w:tc>
          <w:tcPr>
            <w:tcW w:w="992" w:type="dxa"/>
            <w:shd w:val="clear" w:color="auto" w:fill="auto"/>
            <w:noWrap/>
            <w:vAlign w:val="center"/>
            <w:hideMark/>
          </w:tcPr>
          <w:p w14:paraId="593EFD25" w14:textId="63ADA27C"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19 446 567</w:t>
            </w:r>
          </w:p>
        </w:tc>
        <w:tc>
          <w:tcPr>
            <w:tcW w:w="709" w:type="dxa"/>
            <w:shd w:val="clear" w:color="auto" w:fill="auto"/>
            <w:noWrap/>
            <w:vAlign w:val="center"/>
            <w:hideMark/>
          </w:tcPr>
          <w:p w14:paraId="60824D88" w14:textId="3AA96EA2"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48</w:t>
            </w:r>
          </w:p>
        </w:tc>
        <w:tc>
          <w:tcPr>
            <w:tcW w:w="913" w:type="dxa"/>
            <w:shd w:val="clear" w:color="auto" w:fill="auto"/>
            <w:noWrap/>
            <w:vAlign w:val="center"/>
            <w:hideMark/>
          </w:tcPr>
          <w:p w14:paraId="01E53320" w14:textId="5040BCF2"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23</w:t>
            </w:r>
          </w:p>
        </w:tc>
        <w:tc>
          <w:tcPr>
            <w:tcW w:w="930" w:type="dxa"/>
            <w:shd w:val="clear" w:color="auto" w:fill="auto"/>
            <w:noWrap/>
            <w:vAlign w:val="center"/>
            <w:hideMark/>
          </w:tcPr>
          <w:p w14:paraId="50E7087F" w14:textId="6191ACDF"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-390 863</w:t>
            </w:r>
          </w:p>
        </w:tc>
        <w:tc>
          <w:tcPr>
            <w:tcW w:w="708" w:type="dxa"/>
            <w:shd w:val="clear" w:color="auto" w:fill="auto"/>
            <w:noWrap/>
            <w:vAlign w:val="center"/>
            <w:hideMark/>
          </w:tcPr>
          <w:p w14:paraId="4A3DE0FB" w14:textId="11629C52"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8</w:t>
            </w:r>
          </w:p>
        </w:tc>
        <w:tc>
          <w:tcPr>
            <w:tcW w:w="851" w:type="dxa"/>
            <w:shd w:val="clear" w:color="auto" w:fill="auto"/>
            <w:noWrap/>
            <w:vAlign w:val="center"/>
            <w:hideMark/>
          </w:tcPr>
          <w:p w14:paraId="42ECDCCB" w14:textId="2EA55367"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-120 831</w:t>
            </w:r>
          </w:p>
        </w:tc>
        <w:tc>
          <w:tcPr>
            <w:tcW w:w="709" w:type="dxa"/>
            <w:shd w:val="clear" w:color="auto" w:fill="auto"/>
            <w:noWrap/>
            <w:vAlign w:val="center"/>
            <w:hideMark/>
          </w:tcPr>
          <w:p w14:paraId="13DF28E5" w14:textId="54B01581"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w:t>
            </w:r>
          </w:p>
        </w:tc>
        <w:tc>
          <w:tcPr>
            <w:tcW w:w="850" w:type="dxa"/>
            <w:shd w:val="clear" w:color="auto" w:fill="auto"/>
            <w:noWrap/>
            <w:vAlign w:val="center"/>
            <w:hideMark/>
          </w:tcPr>
          <w:p w14:paraId="7330A82A" w14:textId="313C59F0"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-92 422</w:t>
            </w:r>
          </w:p>
        </w:tc>
        <w:tc>
          <w:tcPr>
            <w:tcW w:w="709" w:type="dxa"/>
            <w:shd w:val="clear" w:color="auto" w:fill="auto"/>
            <w:noWrap/>
            <w:vAlign w:val="center"/>
            <w:hideMark/>
          </w:tcPr>
          <w:p w14:paraId="2CB03E55" w14:textId="0BDFBE55"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 xml:space="preserve">1 </w:t>
            </w:r>
          </w:p>
        </w:tc>
        <w:tc>
          <w:tcPr>
            <w:tcW w:w="850" w:type="dxa"/>
            <w:shd w:val="clear" w:color="auto" w:fill="auto"/>
            <w:noWrap/>
            <w:vAlign w:val="center"/>
            <w:hideMark/>
          </w:tcPr>
          <w:p w14:paraId="00540C17" w14:textId="1ABD23EC"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-1 346 923</w:t>
            </w:r>
          </w:p>
        </w:tc>
        <w:tc>
          <w:tcPr>
            <w:tcW w:w="709" w:type="dxa"/>
            <w:shd w:val="clear" w:color="auto" w:fill="auto"/>
            <w:noWrap/>
            <w:vAlign w:val="center"/>
            <w:hideMark/>
          </w:tcPr>
          <w:p w14:paraId="33606D3A" w14:textId="3900F4DB"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3</w:t>
            </w:r>
          </w:p>
        </w:tc>
      </w:tr>
      <w:tr w:rsidR="00F362F0" w:rsidRPr="00AB2901" w14:paraId="41D8589D" w14:textId="77777777" w:rsidTr="00F362F0">
        <w:trPr>
          <w:trHeight w:val="329"/>
        </w:trPr>
        <w:tc>
          <w:tcPr>
            <w:tcW w:w="836" w:type="dxa"/>
            <w:shd w:val="clear" w:color="auto" w:fill="auto"/>
            <w:noWrap/>
            <w:vAlign w:val="center"/>
            <w:hideMark/>
          </w:tcPr>
          <w:p w14:paraId="7DBC0C90" w14:textId="2BF4F838" w:rsidR="00AB2901" w:rsidRPr="00AB2901" w:rsidRDefault="00AB2901" w:rsidP="005E1EFF">
            <w:pPr>
              <w:spacing w:line="240" w:lineRule="auto"/>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&gt;80&lt;100</w:t>
            </w:r>
          </w:p>
        </w:tc>
        <w:tc>
          <w:tcPr>
            <w:tcW w:w="992" w:type="dxa"/>
            <w:shd w:val="clear" w:color="auto" w:fill="auto"/>
            <w:noWrap/>
            <w:vAlign w:val="center"/>
            <w:hideMark/>
          </w:tcPr>
          <w:p w14:paraId="323AEC2C" w14:textId="6E279C5C"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58 384 161</w:t>
            </w:r>
          </w:p>
        </w:tc>
        <w:tc>
          <w:tcPr>
            <w:tcW w:w="709" w:type="dxa"/>
            <w:shd w:val="clear" w:color="auto" w:fill="auto"/>
            <w:noWrap/>
            <w:vAlign w:val="center"/>
            <w:hideMark/>
          </w:tcPr>
          <w:p w14:paraId="19831134" w14:textId="3A5B6014"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62</w:t>
            </w:r>
          </w:p>
        </w:tc>
        <w:tc>
          <w:tcPr>
            <w:tcW w:w="913" w:type="dxa"/>
            <w:shd w:val="clear" w:color="auto" w:fill="auto"/>
            <w:noWrap/>
            <w:vAlign w:val="center"/>
            <w:hideMark/>
          </w:tcPr>
          <w:p w14:paraId="5437BABA" w14:textId="71516A87"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33</w:t>
            </w:r>
          </w:p>
        </w:tc>
        <w:tc>
          <w:tcPr>
            <w:tcW w:w="930" w:type="dxa"/>
            <w:shd w:val="clear" w:color="auto" w:fill="auto"/>
            <w:noWrap/>
            <w:vAlign w:val="center"/>
            <w:hideMark/>
          </w:tcPr>
          <w:p w14:paraId="79034C4E" w14:textId="4DCB5169"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-1 800 580</w:t>
            </w:r>
          </w:p>
        </w:tc>
        <w:tc>
          <w:tcPr>
            <w:tcW w:w="708" w:type="dxa"/>
            <w:shd w:val="clear" w:color="auto" w:fill="auto"/>
            <w:noWrap/>
            <w:vAlign w:val="center"/>
            <w:hideMark/>
          </w:tcPr>
          <w:p w14:paraId="0E934B45" w14:textId="671E6EFF"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10</w:t>
            </w:r>
          </w:p>
        </w:tc>
        <w:tc>
          <w:tcPr>
            <w:tcW w:w="851" w:type="dxa"/>
            <w:shd w:val="clear" w:color="auto" w:fill="auto"/>
            <w:noWrap/>
            <w:vAlign w:val="center"/>
            <w:hideMark/>
          </w:tcPr>
          <w:p w14:paraId="43BB3E27" w14:textId="678BC7B0"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-104 621</w:t>
            </w:r>
          </w:p>
        </w:tc>
        <w:tc>
          <w:tcPr>
            <w:tcW w:w="709" w:type="dxa"/>
            <w:shd w:val="clear" w:color="auto" w:fill="auto"/>
            <w:noWrap/>
            <w:vAlign w:val="center"/>
            <w:hideMark/>
          </w:tcPr>
          <w:p w14:paraId="014C3ED4" w14:textId="282FFCD9"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w:t>
            </w:r>
          </w:p>
        </w:tc>
        <w:tc>
          <w:tcPr>
            <w:tcW w:w="850" w:type="dxa"/>
            <w:shd w:val="clear" w:color="auto" w:fill="auto"/>
            <w:noWrap/>
            <w:vAlign w:val="center"/>
            <w:hideMark/>
          </w:tcPr>
          <w:p w14:paraId="65130AA1" w14:textId="5DC18023"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-1 653 764</w:t>
            </w:r>
          </w:p>
        </w:tc>
        <w:tc>
          <w:tcPr>
            <w:tcW w:w="709" w:type="dxa"/>
            <w:shd w:val="clear" w:color="auto" w:fill="auto"/>
            <w:noWrap/>
            <w:vAlign w:val="center"/>
            <w:hideMark/>
          </w:tcPr>
          <w:p w14:paraId="268BA47F" w14:textId="7963E581"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 xml:space="preserve">3 </w:t>
            </w:r>
          </w:p>
        </w:tc>
        <w:tc>
          <w:tcPr>
            <w:tcW w:w="850" w:type="dxa"/>
            <w:shd w:val="clear" w:color="auto" w:fill="auto"/>
            <w:noWrap/>
            <w:vAlign w:val="center"/>
            <w:hideMark/>
          </w:tcPr>
          <w:p w14:paraId="5632718E" w14:textId="223826BC"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-366 087</w:t>
            </w:r>
          </w:p>
        </w:tc>
        <w:tc>
          <w:tcPr>
            <w:tcW w:w="709" w:type="dxa"/>
            <w:shd w:val="clear" w:color="auto" w:fill="auto"/>
            <w:noWrap/>
            <w:vAlign w:val="center"/>
            <w:hideMark/>
          </w:tcPr>
          <w:p w14:paraId="683B311F" w14:textId="2AAA7B3F"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w:t>
            </w:r>
          </w:p>
        </w:tc>
      </w:tr>
      <w:tr w:rsidR="00F362F0" w:rsidRPr="00AB2901" w14:paraId="18EE4F0B" w14:textId="77777777" w:rsidTr="00F362F0">
        <w:trPr>
          <w:trHeight w:val="329"/>
        </w:trPr>
        <w:tc>
          <w:tcPr>
            <w:tcW w:w="836" w:type="dxa"/>
            <w:shd w:val="clear" w:color="auto" w:fill="auto"/>
            <w:noWrap/>
            <w:vAlign w:val="center"/>
            <w:hideMark/>
          </w:tcPr>
          <w:p w14:paraId="23CC5D86" w14:textId="452D28A5" w:rsidR="00AB2901" w:rsidRPr="00AB2901" w:rsidRDefault="00AB2901" w:rsidP="005E1EFF">
            <w:pPr>
              <w:spacing w:line="240" w:lineRule="auto"/>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&gt;100</w:t>
            </w:r>
          </w:p>
        </w:tc>
        <w:tc>
          <w:tcPr>
            <w:tcW w:w="992" w:type="dxa"/>
            <w:tcBorders>
              <w:bottom w:val="single" w:sz="12" w:space="0" w:color="auto"/>
            </w:tcBorders>
            <w:shd w:val="clear" w:color="auto" w:fill="auto"/>
            <w:noWrap/>
            <w:vAlign w:val="center"/>
            <w:hideMark/>
          </w:tcPr>
          <w:p w14:paraId="722C9307" w14:textId="5997E6B9"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53 588 270</w:t>
            </w:r>
          </w:p>
        </w:tc>
        <w:tc>
          <w:tcPr>
            <w:tcW w:w="709" w:type="dxa"/>
            <w:tcBorders>
              <w:bottom w:val="single" w:sz="12" w:space="0" w:color="auto"/>
            </w:tcBorders>
            <w:shd w:val="clear" w:color="auto" w:fill="auto"/>
            <w:noWrap/>
            <w:vAlign w:val="center"/>
            <w:hideMark/>
          </w:tcPr>
          <w:p w14:paraId="331159F9" w14:textId="33D1787F"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35</w:t>
            </w:r>
          </w:p>
        </w:tc>
        <w:tc>
          <w:tcPr>
            <w:tcW w:w="913" w:type="dxa"/>
            <w:tcBorders>
              <w:bottom w:val="single" w:sz="12" w:space="0" w:color="auto"/>
            </w:tcBorders>
            <w:shd w:val="clear" w:color="auto" w:fill="auto"/>
            <w:noWrap/>
            <w:vAlign w:val="center"/>
            <w:hideMark/>
          </w:tcPr>
          <w:p w14:paraId="3BB5649F" w14:textId="3DDDCA11"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13</w:t>
            </w:r>
          </w:p>
        </w:tc>
        <w:tc>
          <w:tcPr>
            <w:tcW w:w="930" w:type="dxa"/>
            <w:tcBorders>
              <w:bottom w:val="single" w:sz="12" w:space="0" w:color="auto"/>
            </w:tcBorders>
            <w:shd w:val="clear" w:color="auto" w:fill="auto"/>
            <w:noWrap/>
            <w:vAlign w:val="center"/>
            <w:hideMark/>
          </w:tcPr>
          <w:p w14:paraId="38E20652" w14:textId="77363DE8"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-2 026 144</w:t>
            </w:r>
          </w:p>
        </w:tc>
        <w:tc>
          <w:tcPr>
            <w:tcW w:w="708" w:type="dxa"/>
            <w:tcBorders>
              <w:bottom w:val="single" w:sz="12" w:space="0" w:color="auto"/>
            </w:tcBorders>
            <w:shd w:val="clear" w:color="auto" w:fill="auto"/>
            <w:noWrap/>
            <w:vAlign w:val="center"/>
            <w:hideMark/>
          </w:tcPr>
          <w:p w14:paraId="52195A78" w14:textId="17483803"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6</w:t>
            </w:r>
          </w:p>
        </w:tc>
        <w:tc>
          <w:tcPr>
            <w:tcW w:w="851" w:type="dxa"/>
            <w:tcBorders>
              <w:bottom w:val="single" w:sz="12" w:space="0" w:color="auto"/>
            </w:tcBorders>
            <w:shd w:val="clear" w:color="auto" w:fill="auto"/>
            <w:noWrap/>
            <w:vAlign w:val="center"/>
            <w:hideMark/>
          </w:tcPr>
          <w:p w14:paraId="31B08FE7" w14:textId="330DD5AB"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-270 462</w:t>
            </w:r>
          </w:p>
        </w:tc>
        <w:tc>
          <w:tcPr>
            <w:tcW w:w="709" w:type="dxa"/>
            <w:tcBorders>
              <w:bottom w:val="single" w:sz="12" w:space="0" w:color="auto"/>
            </w:tcBorders>
            <w:shd w:val="clear" w:color="auto" w:fill="auto"/>
            <w:noWrap/>
            <w:vAlign w:val="center"/>
            <w:hideMark/>
          </w:tcPr>
          <w:p w14:paraId="5D8D5061" w14:textId="639F799D"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w:t>
            </w:r>
          </w:p>
        </w:tc>
        <w:tc>
          <w:tcPr>
            <w:tcW w:w="850" w:type="dxa"/>
            <w:tcBorders>
              <w:bottom w:val="single" w:sz="12" w:space="0" w:color="auto"/>
            </w:tcBorders>
            <w:shd w:val="clear" w:color="auto" w:fill="auto"/>
            <w:noWrap/>
            <w:vAlign w:val="center"/>
            <w:hideMark/>
          </w:tcPr>
          <w:p w14:paraId="115193AD" w14:textId="2854D746"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-1 537 782</w:t>
            </w:r>
          </w:p>
        </w:tc>
        <w:tc>
          <w:tcPr>
            <w:tcW w:w="709" w:type="dxa"/>
            <w:tcBorders>
              <w:bottom w:val="single" w:sz="12" w:space="0" w:color="auto"/>
            </w:tcBorders>
            <w:shd w:val="clear" w:color="auto" w:fill="auto"/>
            <w:noWrap/>
            <w:vAlign w:val="center"/>
            <w:hideMark/>
          </w:tcPr>
          <w:p w14:paraId="019AFFAF" w14:textId="3B9F5111"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 xml:space="preserve">3 </w:t>
            </w:r>
          </w:p>
        </w:tc>
        <w:tc>
          <w:tcPr>
            <w:tcW w:w="850" w:type="dxa"/>
            <w:tcBorders>
              <w:bottom w:val="single" w:sz="12" w:space="0" w:color="auto"/>
            </w:tcBorders>
            <w:shd w:val="clear" w:color="auto" w:fill="auto"/>
            <w:noWrap/>
            <w:vAlign w:val="center"/>
            <w:hideMark/>
          </w:tcPr>
          <w:p w14:paraId="324F9A04" w14:textId="20896B4B"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-898 763</w:t>
            </w:r>
          </w:p>
        </w:tc>
        <w:tc>
          <w:tcPr>
            <w:tcW w:w="709" w:type="dxa"/>
            <w:tcBorders>
              <w:bottom w:val="single" w:sz="12" w:space="0" w:color="auto"/>
            </w:tcBorders>
            <w:shd w:val="clear" w:color="auto" w:fill="auto"/>
            <w:noWrap/>
            <w:vAlign w:val="center"/>
            <w:hideMark/>
          </w:tcPr>
          <w:p w14:paraId="32D46332" w14:textId="3A1BB799" w:rsidR="00AB2901" w:rsidRPr="00AB2901" w:rsidRDefault="00AB2901" w:rsidP="005E1EFF">
            <w:pPr>
              <w:spacing w:line="240" w:lineRule="auto"/>
              <w:jc w:val="right"/>
              <w:rPr>
                <w:rFonts w:eastAsia="Times New Roman" w:cstheme="minorHAnsi"/>
                <w:bCs w:val="0"/>
                <w:spacing w:val="0"/>
                <w:sz w:val="15"/>
                <w:szCs w:val="15"/>
                <w:lang w:eastAsia="de-CH"/>
              </w:rPr>
            </w:pPr>
            <w:r w:rsidRPr="00AB2901">
              <w:rPr>
                <w:rFonts w:eastAsia="Times New Roman" w:cstheme="minorHAnsi"/>
                <w:bCs w:val="0"/>
                <w:spacing w:val="0"/>
                <w:sz w:val="15"/>
                <w:szCs w:val="15"/>
                <w:lang w:eastAsia="de-CH"/>
              </w:rPr>
              <w:t>2</w:t>
            </w:r>
          </w:p>
        </w:tc>
      </w:tr>
      <w:tr w:rsidR="00F362F0" w:rsidRPr="00AB2901" w14:paraId="385AEBE3" w14:textId="77777777" w:rsidTr="00F362F0">
        <w:trPr>
          <w:trHeight w:val="329"/>
        </w:trPr>
        <w:tc>
          <w:tcPr>
            <w:tcW w:w="836" w:type="dxa"/>
            <w:shd w:val="clear" w:color="auto" w:fill="auto"/>
            <w:noWrap/>
            <w:vAlign w:val="center"/>
            <w:hideMark/>
          </w:tcPr>
          <w:p w14:paraId="095B1AF9" w14:textId="77777777" w:rsidR="00AB2901" w:rsidRPr="00AB2901" w:rsidRDefault="00AB2901" w:rsidP="005E1EFF">
            <w:pPr>
              <w:spacing w:line="240" w:lineRule="auto"/>
              <w:rPr>
                <w:rFonts w:eastAsia="Times New Roman" w:cstheme="minorHAnsi"/>
                <w:b/>
                <w:spacing w:val="0"/>
                <w:sz w:val="15"/>
                <w:szCs w:val="15"/>
                <w:lang w:eastAsia="de-CH"/>
              </w:rPr>
            </w:pPr>
            <w:r w:rsidRPr="00AB2901">
              <w:rPr>
                <w:rFonts w:eastAsia="Times New Roman" w:cstheme="minorHAnsi"/>
                <w:b/>
                <w:spacing w:val="0"/>
                <w:sz w:val="15"/>
                <w:szCs w:val="15"/>
                <w:lang w:eastAsia="de-CH"/>
              </w:rPr>
              <w:t> </w:t>
            </w:r>
          </w:p>
        </w:tc>
        <w:tc>
          <w:tcPr>
            <w:tcW w:w="992" w:type="dxa"/>
            <w:tcBorders>
              <w:top w:val="single" w:sz="12" w:space="0" w:color="auto"/>
              <w:bottom w:val="single" w:sz="12" w:space="0" w:color="auto"/>
            </w:tcBorders>
            <w:shd w:val="clear" w:color="auto" w:fill="auto"/>
            <w:noWrap/>
            <w:vAlign w:val="center"/>
            <w:hideMark/>
          </w:tcPr>
          <w:p w14:paraId="0726869C" w14:textId="4FE188D9"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145 792 725</w:t>
            </w:r>
          </w:p>
        </w:tc>
        <w:tc>
          <w:tcPr>
            <w:tcW w:w="709" w:type="dxa"/>
            <w:tcBorders>
              <w:top w:val="single" w:sz="12" w:space="0" w:color="auto"/>
              <w:bottom w:val="single" w:sz="12" w:space="0" w:color="auto"/>
            </w:tcBorders>
            <w:shd w:val="clear" w:color="auto" w:fill="auto"/>
            <w:noWrap/>
            <w:vAlign w:val="center"/>
            <w:hideMark/>
          </w:tcPr>
          <w:p w14:paraId="6C06B6B8" w14:textId="30A77E27"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193</w:t>
            </w:r>
          </w:p>
        </w:tc>
        <w:tc>
          <w:tcPr>
            <w:tcW w:w="913" w:type="dxa"/>
            <w:tcBorders>
              <w:top w:val="single" w:sz="12" w:space="0" w:color="auto"/>
              <w:bottom w:val="single" w:sz="12" w:space="0" w:color="auto"/>
            </w:tcBorders>
            <w:shd w:val="clear" w:color="auto" w:fill="auto"/>
            <w:noWrap/>
            <w:vAlign w:val="center"/>
            <w:hideMark/>
          </w:tcPr>
          <w:p w14:paraId="589CA133" w14:textId="579A6B19"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89</w:t>
            </w:r>
          </w:p>
        </w:tc>
        <w:tc>
          <w:tcPr>
            <w:tcW w:w="930" w:type="dxa"/>
            <w:tcBorders>
              <w:top w:val="single" w:sz="12" w:space="0" w:color="auto"/>
              <w:bottom w:val="single" w:sz="12" w:space="0" w:color="auto"/>
            </w:tcBorders>
            <w:shd w:val="clear" w:color="auto" w:fill="auto"/>
            <w:noWrap/>
            <w:vAlign w:val="center"/>
            <w:hideMark/>
          </w:tcPr>
          <w:p w14:paraId="0BE0F66D" w14:textId="1F20945F"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-4 364 117</w:t>
            </w:r>
          </w:p>
        </w:tc>
        <w:tc>
          <w:tcPr>
            <w:tcW w:w="708" w:type="dxa"/>
            <w:tcBorders>
              <w:top w:val="single" w:sz="12" w:space="0" w:color="auto"/>
              <w:bottom w:val="single" w:sz="12" w:space="0" w:color="auto"/>
            </w:tcBorders>
            <w:shd w:val="clear" w:color="auto" w:fill="auto"/>
            <w:noWrap/>
            <w:vAlign w:val="center"/>
            <w:hideMark/>
          </w:tcPr>
          <w:p w14:paraId="505A5F5B" w14:textId="606949FD"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30</w:t>
            </w:r>
          </w:p>
        </w:tc>
        <w:tc>
          <w:tcPr>
            <w:tcW w:w="851" w:type="dxa"/>
            <w:tcBorders>
              <w:top w:val="single" w:sz="12" w:space="0" w:color="auto"/>
              <w:bottom w:val="single" w:sz="12" w:space="0" w:color="auto"/>
            </w:tcBorders>
            <w:shd w:val="clear" w:color="auto" w:fill="auto"/>
            <w:noWrap/>
            <w:vAlign w:val="center"/>
            <w:hideMark/>
          </w:tcPr>
          <w:p w14:paraId="360902E5" w14:textId="5BAF14C1"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-820 626</w:t>
            </w:r>
          </w:p>
        </w:tc>
        <w:tc>
          <w:tcPr>
            <w:tcW w:w="709" w:type="dxa"/>
            <w:tcBorders>
              <w:top w:val="single" w:sz="12" w:space="0" w:color="auto"/>
              <w:bottom w:val="single" w:sz="12" w:space="0" w:color="auto"/>
            </w:tcBorders>
            <w:shd w:val="clear" w:color="auto" w:fill="auto"/>
            <w:noWrap/>
            <w:vAlign w:val="center"/>
            <w:hideMark/>
          </w:tcPr>
          <w:p w14:paraId="12C0E70E" w14:textId="1A67C883"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8</w:t>
            </w:r>
          </w:p>
        </w:tc>
        <w:tc>
          <w:tcPr>
            <w:tcW w:w="850" w:type="dxa"/>
            <w:tcBorders>
              <w:top w:val="single" w:sz="12" w:space="0" w:color="auto"/>
              <w:bottom w:val="single" w:sz="12" w:space="0" w:color="auto"/>
            </w:tcBorders>
            <w:shd w:val="clear" w:color="auto" w:fill="auto"/>
            <w:noWrap/>
            <w:vAlign w:val="center"/>
            <w:hideMark/>
          </w:tcPr>
          <w:p w14:paraId="0D6CD217" w14:textId="16978F77"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-3 283 968</w:t>
            </w:r>
          </w:p>
        </w:tc>
        <w:tc>
          <w:tcPr>
            <w:tcW w:w="709" w:type="dxa"/>
            <w:tcBorders>
              <w:top w:val="single" w:sz="12" w:space="0" w:color="auto"/>
              <w:bottom w:val="single" w:sz="12" w:space="0" w:color="auto"/>
            </w:tcBorders>
            <w:shd w:val="clear" w:color="auto" w:fill="auto"/>
            <w:noWrap/>
            <w:vAlign w:val="center"/>
            <w:hideMark/>
          </w:tcPr>
          <w:p w14:paraId="22C47335" w14:textId="53005EB5"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 xml:space="preserve">7 </w:t>
            </w:r>
          </w:p>
        </w:tc>
        <w:tc>
          <w:tcPr>
            <w:tcW w:w="850" w:type="dxa"/>
            <w:tcBorders>
              <w:top w:val="single" w:sz="12" w:space="0" w:color="auto"/>
              <w:bottom w:val="single" w:sz="12" w:space="0" w:color="auto"/>
            </w:tcBorders>
            <w:shd w:val="clear" w:color="auto" w:fill="auto"/>
            <w:noWrap/>
            <w:vAlign w:val="center"/>
            <w:hideMark/>
          </w:tcPr>
          <w:p w14:paraId="65846A3B" w14:textId="082014A4"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-3 657 705</w:t>
            </w:r>
          </w:p>
        </w:tc>
        <w:tc>
          <w:tcPr>
            <w:tcW w:w="709" w:type="dxa"/>
            <w:tcBorders>
              <w:top w:val="single" w:sz="12" w:space="0" w:color="auto"/>
              <w:bottom w:val="single" w:sz="12" w:space="0" w:color="auto"/>
            </w:tcBorders>
            <w:shd w:val="clear" w:color="auto" w:fill="auto"/>
            <w:noWrap/>
            <w:vAlign w:val="center"/>
            <w:hideMark/>
          </w:tcPr>
          <w:p w14:paraId="23EC3932" w14:textId="50DC907C" w:rsidR="00AB2901" w:rsidRPr="00AB2901" w:rsidRDefault="00AB2901" w:rsidP="005E1EFF">
            <w:pPr>
              <w:spacing w:line="240" w:lineRule="auto"/>
              <w:jc w:val="right"/>
              <w:rPr>
                <w:rFonts w:eastAsia="Times New Roman" w:cstheme="minorHAnsi"/>
                <w:b/>
                <w:spacing w:val="0"/>
                <w:sz w:val="15"/>
                <w:szCs w:val="15"/>
                <w:lang w:eastAsia="de-CH"/>
              </w:rPr>
            </w:pPr>
            <w:r w:rsidRPr="00AB2901">
              <w:rPr>
                <w:rFonts w:eastAsia="Times New Roman" w:cstheme="minorHAnsi"/>
                <w:b/>
                <w:spacing w:val="0"/>
                <w:sz w:val="15"/>
                <w:szCs w:val="15"/>
                <w:lang w:eastAsia="de-CH"/>
              </w:rPr>
              <w:t>10</w:t>
            </w:r>
          </w:p>
        </w:tc>
      </w:tr>
    </w:tbl>
    <w:p w14:paraId="0366D943" w14:textId="77777777" w:rsidR="00AB2901" w:rsidRPr="00AB2901" w:rsidRDefault="00AB2901" w:rsidP="00AB2901"/>
    <w:p w14:paraId="4917E193" w14:textId="1FAB0ACC" w:rsidR="004E4BBE" w:rsidRPr="00A5344E" w:rsidRDefault="004E4BBE" w:rsidP="004E4BBE">
      <w:pPr>
        <w:rPr>
          <w:rFonts w:asciiTheme="majorHAnsi" w:hAnsiTheme="majorHAnsi" w:cstheme="majorHAnsi"/>
          <w:highlight w:val="yellow"/>
        </w:rPr>
      </w:pPr>
    </w:p>
    <w:p w14:paraId="5446617D" w14:textId="77777777" w:rsidR="00406B6D" w:rsidRDefault="00406B6D" w:rsidP="004E4BBE">
      <w:pPr>
        <w:rPr>
          <w:rFonts w:asciiTheme="majorHAnsi" w:hAnsiTheme="majorHAnsi" w:cstheme="majorHAnsi"/>
          <w:highlight w:val="yellow"/>
        </w:rPr>
      </w:pPr>
    </w:p>
    <w:p w14:paraId="50F74255" w14:textId="52F0F56C" w:rsidR="00DC432E" w:rsidRPr="00DC432E" w:rsidRDefault="00DC432E" w:rsidP="00DC432E">
      <w:pPr>
        <w:rPr>
          <w:rFonts w:asciiTheme="majorHAnsi" w:hAnsiTheme="majorHAnsi" w:cstheme="majorHAnsi"/>
        </w:rPr>
      </w:pPr>
      <w:r>
        <w:br w:type="page"/>
      </w:r>
    </w:p>
    <w:p w14:paraId="28E4C2F5" w14:textId="335856AC" w:rsidR="00406B6D" w:rsidRPr="00A5344E" w:rsidRDefault="00406B6D" w:rsidP="00406B6D">
      <w:pPr>
        <w:rPr>
          <w:rFonts w:asciiTheme="majorHAnsi" w:hAnsiTheme="majorHAnsi" w:cstheme="majorHAnsi"/>
        </w:rPr>
      </w:pPr>
      <w:r>
        <w:rPr>
          <w:rFonts w:asciiTheme="majorHAnsi" w:hAnsiTheme="majorHAnsi"/>
        </w:rPr>
        <w:lastRenderedPageBreak/>
        <w:t>L’illustration 13 montre que</w:t>
      </w:r>
    </w:p>
    <w:p w14:paraId="6B17F077" w14:textId="2C5C3868" w:rsidR="00406B6D" w:rsidRPr="00A5344E" w:rsidRDefault="00406B6D" w:rsidP="00A513C6">
      <w:pPr>
        <w:pStyle w:val="Aufzhlungszeichen"/>
        <w:contextualSpacing w:val="0"/>
        <w:rPr>
          <w:rFonts w:asciiTheme="majorHAnsi" w:hAnsiTheme="majorHAnsi" w:cstheme="majorHAnsi"/>
        </w:rPr>
      </w:pPr>
      <w:r>
        <w:rPr>
          <w:rFonts w:asciiTheme="majorHAnsi" w:hAnsiTheme="majorHAnsi"/>
        </w:rPr>
        <w:t>les excédents de revenus atteignaient au total CHF 145,8 millions et les excédents de charges, CHF 12,1 millions ;</w:t>
      </w:r>
    </w:p>
    <w:p w14:paraId="1070FFAB" w14:textId="15E5DBBD" w:rsidR="00406B6D" w:rsidRPr="00A5344E" w:rsidRDefault="00406B6D" w:rsidP="00A513C6">
      <w:pPr>
        <w:pStyle w:val="Aufzhlungszeichen"/>
        <w:contextualSpacing w:val="0"/>
        <w:rPr>
          <w:rFonts w:asciiTheme="majorHAnsi" w:hAnsiTheme="majorHAnsi" w:cstheme="majorHAnsi"/>
        </w:rPr>
      </w:pPr>
      <w:r>
        <w:rPr>
          <w:rFonts w:asciiTheme="majorHAnsi" w:hAnsiTheme="majorHAnsi"/>
        </w:rPr>
        <w:t>89 communes affichaient des comptes équilibrés ;</w:t>
      </w:r>
    </w:p>
    <w:p w14:paraId="5A0CEF1A" w14:textId="034D9C20" w:rsidR="00406B6D" w:rsidRPr="00A5344E" w:rsidRDefault="00406B6D" w:rsidP="00A513C6">
      <w:pPr>
        <w:pStyle w:val="Aufzhlungszeichen"/>
        <w:contextualSpacing w:val="0"/>
        <w:rPr>
          <w:rFonts w:asciiTheme="majorHAnsi" w:hAnsiTheme="majorHAnsi" w:cstheme="majorHAnsi"/>
        </w:rPr>
      </w:pPr>
      <w:r>
        <w:rPr>
          <w:rFonts w:asciiTheme="majorHAnsi" w:hAnsiTheme="majorHAnsi"/>
        </w:rPr>
        <w:t>le classement des résultats comptables 2023 par catégorie d’IRH ne dégage aucune tendance évidente ;</w:t>
      </w:r>
    </w:p>
    <w:p w14:paraId="3D3DAA30" w14:textId="5F2001E3" w:rsidR="00406B6D" w:rsidRPr="00A5344E" w:rsidRDefault="00406B6D" w:rsidP="00A513C6">
      <w:pPr>
        <w:pStyle w:val="Aufzhlungszeichen"/>
        <w:contextualSpacing w:val="0"/>
        <w:rPr>
          <w:rFonts w:asciiTheme="majorHAnsi" w:hAnsiTheme="majorHAnsi" w:cstheme="majorHAnsi"/>
        </w:rPr>
      </w:pPr>
      <w:r>
        <w:rPr>
          <w:rFonts w:asciiTheme="majorHAnsi" w:hAnsiTheme="majorHAnsi"/>
        </w:rPr>
        <w:t>la capacité contributive n’a donc pas eu d</w:t>
      </w:r>
      <w:r w:rsidR="0083428B">
        <w:rPr>
          <w:rFonts w:asciiTheme="majorHAnsi" w:hAnsiTheme="majorHAnsi"/>
        </w:rPr>
        <w:t>’</w:t>
      </w:r>
      <w:r>
        <w:rPr>
          <w:rFonts w:asciiTheme="majorHAnsi" w:hAnsiTheme="majorHAnsi"/>
        </w:rPr>
        <w:t xml:space="preserve">impact significatif sur les résultats </w:t>
      </w:r>
      <w:r w:rsidR="0083428B">
        <w:rPr>
          <w:rFonts w:asciiTheme="majorHAnsi" w:hAnsiTheme="majorHAnsi"/>
        </w:rPr>
        <w:t>de</w:t>
      </w:r>
      <w:r>
        <w:rPr>
          <w:rFonts w:asciiTheme="majorHAnsi" w:hAnsiTheme="majorHAnsi"/>
        </w:rPr>
        <w:t xml:space="preserve"> 2023 ;</w:t>
      </w:r>
    </w:p>
    <w:p w14:paraId="01B6C2F1" w14:textId="28301791" w:rsidR="00406B6D" w:rsidRPr="00A5344E" w:rsidRDefault="00406B6D" w:rsidP="00A513C6">
      <w:pPr>
        <w:pStyle w:val="Aufzhlungszeichen"/>
        <w:contextualSpacing w:val="0"/>
        <w:rPr>
          <w:rFonts w:asciiTheme="majorHAnsi" w:hAnsiTheme="majorHAnsi" w:cstheme="majorHAnsi"/>
        </w:rPr>
      </w:pPr>
      <w:r>
        <w:rPr>
          <w:rFonts w:asciiTheme="majorHAnsi" w:hAnsiTheme="majorHAnsi"/>
        </w:rPr>
        <w:t>près de 72 pour cent des excédents de charges (CHF 8,7 mio) sont imputables à des communes dont l’IRH était supérieur à 80 ;</w:t>
      </w:r>
    </w:p>
    <w:p w14:paraId="5B61404F" w14:textId="34376ECC" w:rsidR="00406B6D" w:rsidRPr="00A5344E" w:rsidRDefault="00406B6D" w:rsidP="00A513C6">
      <w:pPr>
        <w:pStyle w:val="Aufzhlungszeichen"/>
        <w:contextualSpacing w:val="0"/>
        <w:rPr>
          <w:rFonts w:asciiTheme="majorHAnsi" w:hAnsiTheme="majorHAnsi" w:cstheme="majorHAnsi"/>
        </w:rPr>
      </w:pPr>
      <w:r>
        <w:rPr>
          <w:rFonts w:asciiTheme="majorHAnsi" w:hAnsiTheme="majorHAnsi"/>
        </w:rPr>
        <w:t>21 communes sur 38 dont l’IRH est inférieur à 60 présentent un exercice comptable 2023 bénéficiaire malgré l’augmentation des coûts afférents à la compensation des charges (cf. point 4.2).</w:t>
      </w:r>
    </w:p>
    <w:p w14:paraId="3CED0FB6" w14:textId="77777777" w:rsidR="00406B6D" w:rsidRPr="00A5344E" w:rsidRDefault="00406B6D" w:rsidP="00406B6D">
      <w:pPr>
        <w:rPr>
          <w:rFonts w:asciiTheme="majorHAnsi" w:hAnsiTheme="majorHAnsi" w:cstheme="majorHAnsi"/>
        </w:rPr>
      </w:pPr>
    </w:p>
    <w:p w14:paraId="6D809101" w14:textId="05B15E84" w:rsidR="00406B6D" w:rsidRPr="00A5344E" w:rsidRDefault="00406B6D" w:rsidP="00406B6D">
      <w:pPr>
        <w:rPr>
          <w:rFonts w:asciiTheme="majorHAnsi" w:hAnsiTheme="majorHAnsi" w:cstheme="majorHAnsi"/>
        </w:rPr>
      </w:pPr>
      <w:r>
        <w:rPr>
          <w:rFonts w:asciiTheme="majorHAnsi" w:hAnsiTheme="majorHAnsi"/>
        </w:rPr>
        <w:t xml:space="preserve">Remarque : </w:t>
      </w:r>
      <w:r w:rsidR="00491A48">
        <w:rPr>
          <w:rFonts w:asciiTheme="majorHAnsi" w:hAnsiTheme="majorHAnsi"/>
        </w:rPr>
        <w:t>d</w:t>
      </w:r>
      <w:r>
        <w:rPr>
          <w:rFonts w:asciiTheme="majorHAnsi" w:hAnsiTheme="majorHAnsi"/>
        </w:rPr>
        <w:t>epuis l’adoption du Modèle comptable harmonisé 2 (MCH2) en 2016, les communes bernoises dont le résultat est bénéficiaire doivent enregistrer davantage d’amortissements sur l’exercice correspondant si leurs amortissements ordinaires sont inférieurs à l’investissement net. Cette disposition explique pourquoi le nombre de communes dont les comptes sont équilibrés est relativement élevé.</w:t>
      </w:r>
    </w:p>
    <w:p w14:paraId="7847D609" w14:textId="77777777" w:rsidR="00406B6D" w:rsidRPr="00A5344E" w:rsidRDefault="00406B6D" w:rsidP="00406B6D">
      <w:pPr>
        <w:rPr>
          <w:rFonts w:asciiTheme="majorHAnsi" w:hAnsiTheme="majorHAnsi" w:cstheme="majorHAnsi"/>
        </w:rPr>
      </w:pPr>
    </w:p>
    <w:p w14:paraId="5C90280A" w14:textId="6C484184" w:rsidR="00406B6D" w:rsidRPr="00A5344E" w:rsidRDefault="00406B6D" w:rsidP="00406B6D">
      <w:pPr>
        <w:rPr>
          <w:rFonts w:asciiTheme="majorHAnsi" w:hAnsiTheme="majorHAnsi" w:cstheme="majorHAnsi"/>
          <w:highlight w:val="yellow"/>
        </w:rPr>
      </w:pPr>
      <w:r>
        <w:rPr>
          <w:rFonts w:asciiTheme="majorHAnsi" w:hAnsiTheme="majorHAnsi"/>
        </w:rPr>
        <w:t>En 2023, 156 communes ont enregistré des amortissements supplémentaires pour un montant total de 80,8 millions de francs (contre 164 en 2022, pour CHF 75,0 mio au total). Abstraction faite de ces amortissements supplémentaires, elles sont encore 24 à présenter un résultat comptable équilibré (contre 22 en 2022).</w:t>
      </w:r>
    </w:p>
    <w:p w14:paraId="0B8A6CE2" w14:textId="2A353012" w:rsidR="001E0DF4" w:rsidRPr="00A5344E" w:rsidRDefault="001E0DF4" w:rsidP="001E0DF4">
      <w:pPr>
        <w:pStyle w:val="H1"/>
        <w:rPr>
          <w:rFonts w:cstheme="majorHAnsi"/>
        </w:rPr>
      </w:pPr>
      <w:bookmarkStart w:id="52" w:name="_Toc196227261"/>
      <w:r>
        <w:t>Récapitulatif et conclusion</w:t>
      </w:r>
      <w:bookmarkEnd w:id="52"/>
    </w:p>
    <w:p w14:paraId="57F7E926" w14:textId="342426A5" w:rsidR="001E0DF4" w:rsidRPr="00A5344E" w:rsidRDefault="001E0DF4" w:rsidP="00827FD3">
      <w:pPr>
        <w:rPr>
          <w:rFonts w:asciiTheme="majorHAnsi" w:hAnsiTheme="majorHAnsi" w:cstheme="majorHAnsi"/>
          <w:szCs w:val="21"/>
        </w:rPr>
      </w:pPr>
      <w:r>
        <w:rPr>
          <w:rFonts w:asciiTheme="majorHAnsi" w:hAnsiTheme="majorHAnsi"/>
        </w:rPr>
        <w:t>Les résultats 2024 de l’analyse permanente montrent qu’entre 2020 et 2024, la LPFC a globalement rempli ses objectifs définis à son article 1, à savoir atténuer les écarts de capacité financière et de charges entre les communes et tendre à équilibrer la charge fiscale.</w:t>
      </w:r>
    </w:p>
    <w:p w14:paraId="5CB849BE" w14:textId="78F08DEA" w:rsidR="001E0DF4" w:rsidRPr="00A5344E" w:rsidRDefault="001E0DF4" w:rsidP="001E0DF4">
      <w:pPr>
        <w:rPr>
          <w:rFonts w:asciiTheme="majorHAnsi" w:hAnsiTheme="majorHAnsi" w:cstheme="majorHAnsi"/>
          <w:szCs w:val="21"/>
        </w:rPr>
      </w:pPr>
    </w:p>
    <w:p w14:paraId="5021C3A4" w14:textId="77777777" w:rsidR="001E0DF4" w:rsidRPr="00A5344E" w:rsidRDefault="001E0DF4" w:rsidP="001E0DF4">
      <w:pPr>
        <w:rPr>
          <w:rFonts w:asciiTheme="majorHAnsi" w:hAnsiTheme="majorHAnsi" w:cstheme="majorHAnsi"/>
          <w:szCs w:val="21"/>
        </w:rPr>
      </w:pPr>
    </w:p>
    <w:p w14:paraId="24F1F04B" w14:textId="77777777" w:rsidR="001E0DF4" w:rsidRPr="00A5344E" w:rsidRDefault="001E0DF4" w:rsidP="00836EDF">
      <w:pPr>
        <w:rPr>
          <w:rFonts w:asciiTheme="majorHAnsi" w:hAnsiTheme="majorHAnsi" w:cstheme="majorHAnsi"/>
          <w:szCs w:val="21"/>
        </w:rPr>
      </w:pPr>
      <w:r>
        <w:rPr>
          <w:rFonts w:asciiTheme="majorHAnsi" w:hAnsiTheme="majorHAnsi"/>
        </w:rPr>
        <w:t>L’Administration des finances estime en conséquence qu’il n’y a pour l’instant pas lieu que le Conseil-exécutif affine les instruments de la LPFC.</w:t>
      </w:r>
    </w:p>
    <w:p w14:paraId="0FCF1E6A" w14:textId="77777777" w:rsidR="001E0DF4" w:rsidRPr="00A5344E" w:rsidRDefault="001E0DF4" w:rsidP="001E0DF4">
      <w:pPr>
        <w:rPr>
          <w:rFonts w:asciiTheme="majorHAnsi" w:hAnsiTheme="majorHAnsi" w:cstheme="majorHAnsi"/>
          <w:szCs w:val="21"/>
        </w:rPr>
      </w:pPr>
    </w:p>
    <w:p w14:paraId="4781096D" w14:textId="23CAF038" w:rsidR="001E0DF4" w:rsidRPr="00DC432E" w:rsidRDefault="001E0DF4" w:rsidP="00DC432E">
      <w:pPr>
        <w:rPr>
          <w:rFonts w:asciiTheme="majorHAnsi" w:hAnsiTheme="majorHAnsi" w:cstheme="majorHAnsi"/>
          <w:szCs w:val="21"/>
          <w:highlight w:val="yellow"/>
        </w:rPr>
      </w:pPr>
      <w:r>
        <w:br w:type="page"/>
      </w:r>
    </w:p>
    <w:p w14:paraId="1CC9172D" w14:textId="3383BE91" w:rsidR="004E4BBE" w:rsidRPr="00A5344E" w:rsidRDefault="001E0DF4" w:rsidP="001E0DF4">
      <w:pPr>
        <w:pStyle w:val="H1"/>
        <w:numPr>
          <w:ilvl w:val="0"/>
          <w:numId w:val="0"/>
        </w:numPr>
        <w:ind w:left="851"/>
        <w:rPr>
          <w:rFonts w:cstheme="majorHAnsi"/>
        </w:rPr>
      </w:pPr>
      <w:bookmarkStart w:id="53" w:name="_Toc196227262"/>
      <w:r>
        <w:lastRenderedPageBreak/>
        <w:t>Annexe 1 :</w:t>
      </w:r>
      <w:r w:rsidR="006E565B">
        <w:t xml:space="preserve"> </w:t>
      </w:r>
      <w:r>
        <w:t>Bases légales</w:t>
      </w:r>
      <w:bookmarkEnd w:id="53"/>
    </w:p>
    <w:p w14:paraId="6D394650" w14:textId="77777777" w:rsidR="001E0DF4" w:rsidRPr="00A5344E" w:rsidRDefault="001E0DF4" w:rsidP="001E0DF4">
      <w:pPr>
        <w:pStyle w:val="berschrift4"/>
        <w:numPr>
          <w:ilvl w:val="0"/>
          <w:numId w:val="39"/>
        </w:numPr>
        <w:rPr>
          <w:rFonts w:cstheme="majorHAnsi"/>
        </w:rPr>
      </w:pPr>
      <w:r>
        <w:t>Objectifs de la LPFC</w:t>
      </w:r>
    </w:p>
    <w:p w14:paraId="494B6352" w14:textId="77777777" w:rsidR="001E0DF4" w:rsidRPr="00D323A8" w:rsidRDefault="001E0DF4" w:rsidP="00DC432E">
      <w:pPr>
        <w:rPr>
          <w:rFonts w:asciiTheme="majorHAnsi" w:hAnsiTheme="majorHAnsi" w:cstheme="majorHAnsi"/>
        </w:rPr>
      </w:pPr>
      <w:r>
        <w:rPr>
          <w:rFonts w:asciiTheme="majorHAnsi" w:hAnsiTheme="majorHAnsi"/>
        </w:rPr>
        <w:t>La LPFC a pour but d’atténuer les inégalités résultant des différences de capacité financière et de charges entre les communes et tend à équilibrer la charge fiscale (art. 1).</w:t>
      </w:r>
    </w:p>
    <w:p w14:paraId="6C2E2F28" w14:textId="77777777" w:rsidR="001E0DF4" w:rsidRPr="00A5344E" w:rsidRDefault="001E0DF4" w:rsidP="001E0DF4">
      <w:pPr>
        <w:pStyle w:val="berschrift4"/>
        <w:numPr>
          <w:ilvl w:val="0"/>
          <w:numId w:val="39"/>
        </w:numPr>
        <w:rPr>
          <w:rFonts w:cstheme="majorHAnsi"/>
        </w:rPr>
      </w:pPr>
      <w:r>
        <w:t>Analyses permanentes des effets de la LPFC</w:t>
      </w:r>
    </w:p>
    <w:p w14:paraId="42D400BA" w14:textId="77777777" w:rsidR="001E0DF4" w:rsidRPr="00A5344E" w:rsidRDefault="001E0DF4" w:rsidP="00DC432E">
      <w:pPr>
        <w:pStyle w:val="Textkrper"/>
        <w:spacing w:line="270" w:lineRule="atLeast"/>
        <w:rPr>
          <w:rFonts w:asciiTheme="majorHAnsi" w:hAnsiTheme="majorHAnsi" w:cstheme="majorHAnsi"/>
        </w:rPr>
      </w:pPr>
      <w:r>
        <w:rPr>
          <w:rFonts w:asciiTheme="majorHAnsi" w:hAnsiTheme="majorHAnsi"/>
        </w:rPr>
        <w:t>Le service compétent de la Direction des finances (Administration des finances, section Péréquation financière) dresse une statistique financière et analyse en permanence l’impact des instruments de la loi (art. 33, al. 1 LPFC).</w:t>
      </w:r>
    </w:p>
    <w:p w14:paraId="5A2CA853" w14:textId="77777777" w:rsidR="001E0DF4" w:rsidRPr="00A5344E" w:rsidRDefault="001E0DF4" w:rsidP="00DC432E">
      <w:pPr>
        <w:pStyle w:val="Textkrper"/>
        <w:spacing w:line="270" w:lineRule="atLeast"/>
        <w:rPr>
          <w:rFonts w:asciiTheme="majorHAnsi" w:hAnsiTheme="majorHAnsi" w:cstheme="majorHAnsi"/>
        </w:rPr>
      </w:pPr>
      <w:r>
        <w:rPr>
          <w:rFonts w:asciiTheme="majorHAnsi" w:hAnsiTheme="majorHAnsi"/>
        </w:rPr>
        <w:t>La statistique financière (FINSTA) pour les communes bernoises a été instaurée en 1998 et est depuis lors actualisée chaque année.</w:t>
      </w:r>
    </w:p>
    <w:p w14:paraId="7E42604D" w14:textId="77777777" w:rsidR="001E0DF4" w:rsidRPr="00A5344E" w:rsidRDefault="001E0DF4" w:rsidP="00DC432E">
      <w:pPr>
        <w:pStyle w:val="Textkrper"/>
        <w:spacing w:line="270" w:lineRule="atLeast"/>
        <w:rPr>
          <w:rFonts w:asciiTheme="majorHAnsi" w:hAnsiTheme="majorHAnsi" w:cstheme="majorHAnsi"/>
        </w:rPr>
      </w:pPr>
      <w:r>
        <w:rPr>
          <w:rFonts w:asciiTheme="majorHAnsi" w:hAnsiTheme="majorHAnsi"/>
        </w:rPr>
        <w:t>Les objectifs de l’analyse permanente de l’efficacité de la LPFC sont les suivants :</w:t>
      </w:r>
    </w:p>
    <w:p w14:paraId="5375563E" w14:textId="77777777" w:rsidR="001E0DF4" w:rsidRPr="00A5344E" w:rsidRDefault="001E0DF4" w:rsidP="00D323A8">
      <w:pPr>
        <w:pStyle w:val="Aufzhlungszeichen"/>
        <w:contextualSpacing w:val="0"/>
        <w:rPr>
          <w:rFonts w:asciiTheme="majorHAnsi" w:hAnsiTheme="majorHAnsi" w:cstheme="majorHAnsi"/>
        </w:rPr>
      </w:pPr>
      <w:r>
        <w:rPr>
          <w:rFonts w:asciiTheme="majorHAnsi" w:hAnsiTheme="majorHAnsi"/>
        </w:rPr>
        <w:t>Fournir les éléments nécessaires à un monitoring communal permettant l’analyser l’efficacité et les résultats de la LPFC en continu.</w:t>
      </w:r>
    </w:p>
    <w:p w14:paraId="577A747E" w14:textId="77777777" w:rsidR="001E0DF4" w:rsidRPr="00A5344E" w:rsidRDefault="001E0DF4" w:rsidP="00D323A8">
      <w:pPr>
        <w:pStyle w:val="Aufzhlungszeichen"/>
        <w:contextualSpacing w:val="0"/>
        <w:rPr>
          <w:rFonts w:asciiTheme="majorHAnsi" w:hAnsiTheme="majorHAnsi" w:cstheme="majorHAnsi"/>
        </w:rPr>
      </w:pPr>
      <w:r>
        <w:rPr>
          <w:rFonts w:asciiTheme="majorHAnsi" w:hAnsiTheme="majorHAnsi"/>
        </w:rPr>
        <w:t>Observer continuellement l’impact de la péréquation financière et de la compensation des charges sur les finances communales.</w:t>
      </w:r>
    </w:p>
    <w:p w14:paraId="0FD3FC2A" w14:textId="3AA64D4A" w:rsidR="001E0DF4" w:rsidRPr="00A5344E" w:rsidRDefault="001E0DF4" w:rsidP="00D323A8">
      <w:pPr>
        <w:pStyle w:val="Aufzhlungszeichen"/>
        <w:contextualSpacing w:val="0"/>
        <w:rPr>
          <w:rFonts w:asciiTheme="majorHAnsi" w:hAnsiTheme="majorHAnsi" w:cstheme="majorHAnsi"/>
        </w:rPr>
      </w:pPr>
      <w:r>
        <w:rPr>
          <w:rFonts w:asciiTheme="majorHAnsi" w:hAnsiTheme="majorHAnsi"/>
        </w:rPr>
        <w:t>Fournir des éléments permettant au Conseil-exécutif d’affiner la péréquation financière (réduction des disparités et dotation minimale) ainsi que les mesures en faveur des communes supportant des charges particulièrement lourdes dans le cadre des fourchettes de valeurs fixées par la LPFC.</w:t>
      </w:r>
    </w:p>
    <w:p w14:paraId="527D8A6F" w14:textId="77777777" w:rsidR="001E0DF4" w:rsidRPr="00A5344E" w:rsidRDefault="001E0DF4" w:rsidP="001E0DF4">
      <w:pPr>
        <w:pStyle w:val="berschrift4"/>
        <w:numPr>
          <w:ilvl w:val="0"/>
          <w:numId w:val="39"/>
        </w:numPr>
        <w:rPr>
          <w:rFonts w:cstheme="majorHAnsi"/>
        </w:rPr>
      </w:pPr>
      <w:r>
        <w:t>Paramètres d’affinement par le Conseil-exécutif</w:t>
      </w:r>
    </w:p>
    <w:p w14:paraId="3534A07D" w14:textId="6796E617" w:rsidR="001E0DF4" w:rsidRPr="00D323A8" w:rsidRDefault="001E0DF4" w:rsidP="00DC432E">
      <w:pPr>
        <w:rPr>
          <w:rFonts w:asciiTheme="majorHAnsi" w:hAnsiTheme="majorHAnsi" w:cstheme="majorHAnsi"/>
        </w:rPr>
      </w:pPr>
      <w:r>
        <w:rPr>
          <w:rFonts w:asciiTheme="majorHAnsi" w:hAnsiTheme="majorHAnsi"/>
        </w:rPr>
        <w:t>Pour réagir de manière appropriée aux effets indésirés et aux évolutions, le Conseil-exécutif peut affiner la péréquation financière et la compensation des charges dans le cadre des fourchettes de valeurs que la LPFC fixe pour chaque instrument. Ces instruments, les bases légales et les paramètres d’affinement sont présentées à l’annexe 2.</w:t>
      </w:r>
    </w:p>
    <w:p w14:paraId="3EFD9EEC" w14:textId="77777777" w:rsidR="001E0DF4" w:rsidRPr="00A5344E" w:rsidRDefault="001E0DF4" w:rsidP="001E0DF4">
      <w:pPr>
        <w:pStyle w:val="berschrift4"/>
        <w:numPr>
          <w:ilvl w:val="0"/>
          <w:numId w:val="39"/>
        </w:numPr>
        <w:rPr>
          <w:rFonts w:cstheme="majorHAnsi"/>
        </w:rPr>
      </w:pPr>
      <w:r>
        <w:t>Prise de connaissance du rapport par le Conseil-exécutif</w:t>
      </w:r>
    </w:p>
    <w:p w14:paraId="22C69077" w14:textId="2DBB9DFC" w:rsidR="001E0DF4" w:rsidRPr="00D323A8" w:rsidRDefault="001E0DF4" w:rsidP="00DC432E">
      <w:pPr>
        <w:rPr>
          <w:rFonts w:asciiTheme="majorHAnsi" w:hAnsiTheme="majorHAnsi" w:cstheme="majorHAnsi"/>
        </w:rPr>
      </w:pPr>
      <w:r>
        <w:rPr>
          <w:rFonts w:asciiTheme="majorHAnsi" w:hAnsiTheme="majorHAnsi"/>
        </w:rPr>
        <w:t xml:space="preserve">Lorsqu’il avait pris connaissance des résultats de 2011 de l’analyse permanente, le Conseil-exécutif avait indiqué à la Direction des finances qu’elle ne devrait à l’avenir lui </w:t>
      </w:r>
      <w:r w:rsidR="0083428B">
        <w:rPr>
          <w:rFonts w:asciiTheme="majorHAnsi" w:hAnsiTheme="majorHAnsi"/>
        </w:rPr>
        <w:t xml:space="preserve">en </w:t>
      </w:r>
      <w:r>
        <w:rPr>
          <w:rFonts w:asciiTheme="majorHAnsi" w:hAnsiTheme="majorHAnsi"/>
        </w:rPr>
        <w:t xml:space="preserve">présenter le </w:t>
      </w:r>
      <w:r w:rsidR="0083428B">
        <w:rPr>
          <w:rFonts w:asciiTheme="majorHAnsi" w:hAnsiTheme="majorHAnsi"/>
        </w:rPr>
        <w:t>compte rendu</w:t>
      </w:r>
      <w:r>
        <w:rPr>
          <w:rFonts w:asciiTheme="majorHAnsi" w:hAnsiTheme="majorHAnsi"/>
        </w:rPr>
        <w:t xml:space="preserve"> qu’en cas de nécessité</w:t>
      </w:r>
      <w:r w:rsidR="0083428B">
        <w:rPr>
          <w:rFonts w:asciiTheme="majorHAnsi" w:hAnsiTheme="majorHAnsi"/>
        </w:rPr>
        <w:t>,</w:t>
      </w:r>
      <w:r>
        <w:rPr>
          <w:rFonts w:asciiTheme="majorHAnsi" w:hAnsiTheme="majorHAnsi"/>
        </w:rPr>
        <w:t xml:space="preserve"> en la chargeant, le cas échéant, de lui proposer des mesures visant à affiner les </w:t>
      </w:r>
      <w:r w:rsidR="0083428B">
        <w:rPr>
          <w:rFonts w:asciiTheme="majorHAnsi" w:hAnsiTheme="majorHAnsi"/>
        </w:rPr>
        <w:t>dispositifs</w:t>
      </w:r>
      <w:r>
        <w:rPr>
          <w:rFonts w:asciiTheme="majorHAnsi" w:hAnsiTheme="majorHAnsi"/>
        </w:rPr>
        <w:t xml:space="preserve"> de la LPFC (ACE n° 2008 du 30 novembre 2011).</w:t>
      </w:r>
    </w:p>
    <w:p w14:paraId="29CDDF23" w14:textId="77777777" w:rsidR="001E0DF4" w:rsidRPr="00A5344E" w:rsidRDefault="001E0DF4" w:rsidP="001E0DF4">
      <w:pPr>
        <w:pStyle w:val="berschrift4"/>
        <w:numPr>
          <w:ilvl w:val="0"/>
          <w:numId w:val="39"/>
        </w:numPr>
        <w:rPr>
          <w:rFonts w:cstheme="majorHAnsi"/>
        </w:rPr>
      </w:pPr>
      <w:r>
        <w:t>Révision de la LPFC au 1</w:t>
      </w:r>
      <w:r>
        <w:rPr>
          <w:vertAlign w:val="superscript"/>
        </w:rPr>
        <w:t>er</w:t>
      </w:r>
      <w:r>
        <w:t> janvier 2012</w:t>
      </w:r>
    </w:p>
    <w:p w14:paraId="59F60D77" w14:textId="631160D0" w:rsidR="001E0DF4" w:rsidRDefault="001E0DF4" w:rsidP="00DC432E">
      <w:pPr>
        <w:rPr>
          <w:rFonts w:asciiTheme="majorHAnsi" w:hAnsiTheme="majorHAnsi" w:cstheme="majorHAnsi"/>
          <w:szCs w:val="21"/>
        </w:rPr>
      </w:pPr>
      <w:r>
        <w:rPr>
          <w:rFonts w:asciiTheme="majorHAnsi" w:hAnsiTheme="majorHAnsi"/>
        </w:rPr>
        <w:t>La LPFC de 2002 a été partiellement révisée au 1</w:t>
      </w:r>
      <w:r>
        <w:rPr>
          <w:rFonts w:asciiTheme="majorHAnsi" w:hAnsiTheme="majorHAnsi"/>
          <w:vertAlign w:val="superscript"/>
        </w:rPr>
        <w:t>er</w:t>
      </w:r>
      <w:r>
        <w:rPr>
          <w:rFonts w:asciiTheme="majorHAnsi" w:hAnsiTheme="majorHAnsi"/>
        </w:rPr>
        <w:t xml:space="preserve"> janvier 2012 (projet LPFC 2012). </w:t>
      </w:r>
      <w:r w:rsidR="0083428B">
        <w:rPr>
          <w:rFonts w:asciiTheme="majorHAnsi" w:hAnsiTheme="majorHAnsi"/>
        </w:rPr>
        <w:t xml:space="preserve">Lancée sur la base </w:t>
      </w:r>
      <w:r>
        <w:rPr>
          <w:rFonts w:asciiTheme="majorHAnsi" w:hAnsiTheme="majorHAnsi"/>
        </w:rPr>
        <w:t>des résultats de l’évaluation de la LPFC de 2002, réalisée en 2007, cette révision visait en priorité à répartir plus équitablement les ressources de la péréquation financière et à éliminer un certain nombre d’effets pervers de la compensation des charges, en particulier dans les domaines de l’action sociale et des traitements du corps enseignant.</w:t>
      </w:r>
    </w:p>
    <w:p w14:paraId="5AF0150E" w14:textId="77777777" w:rsidR="00DC432E" w:rsidRDefault="00DC432E" w:rsidP="00DC432E">
      <w:pPr>
        <w:rPr>
          <w:rFonts w:asciiTheme="majorHAnsi" w:hAnsiTheme="majorHAnsi" w:cstheme="majorHAnsi"/>
          <w:szCs w:val="21"/>
        </w:rPr>
      </w:pPr>
    </w:p>
    <w:p w14:paraId="489EEB22" w14:textId="5E2A0CB3" w:rsidR="00DC432E" w:rsidRDefault="00DC432E" w:rsidP="00DC432E">
      <w:pPr>
        <w:rPr>
          <w:rFonts w:asciiTheme="majorHAnsi" w:hAnsiTheme="majorHAnsi" w:cstheme="majorHAnsi"/>
          <w:szCs w:val="21"/>
        </w:rPr>
      </w:pPr>
      <w:r>
        <w:br w:type="page"/>
      </w:r>
    </w:p>
    <w:p w14:paraId="4F6F8092" w14:textId="480A42B4" w:rsidR="001E0DF4" w:rsidRDefault="001E0DF4" w:rsidP="00D323A8">
      <w:pPr>
        <w:rPr>
          <w:rFonts w:asciiTheme="majorHAnsi" w:hAnsiTheme="majorHAnsi" w:cstheme="majorHAnsi"/>
          <w:szCs w:val="21"/>
        </w:rPr>
      </w:pPr>
      <w:r>
        <w:rPr>
          <w:rFonts w:asciiTheme="majorHAnsi" w:hAnsiTheme="majorHAnsi"/>
        </w:rPr>
        <w:lastRenderedPageBreak/>
        <w:t>Elle a apporté les principaux changements suivants :</w:t>
      </w:r>
    </w:p>
    <w:p w14:paraId="03A441ED" w14:textId="77777777" w:rsidR="001E0DF4" w:rsidRPr="00A5344E" w:rsidRDefault="001E0DF4" w:rsidP="00D323A8">
      <w:pPr>
        <w:pStyle w:val="Aufzhlungszeichen"/>
        <w:contextualSpacing w:val="0"/>
        <w:rPr>
          <w:rFonts w:asciiTheme="majorHAnsi" w:hAnsiTheme="majorHAnsi" w:cstheme="majorHAnsi"/>
          <w:b/>
          <w:bCs w:val="0"/>
        </w:rPr>
      </w:pPr>
      <w:r>
        <w:rPr>
          <w:rFonts w:asciiTheme="majorHAnsi" w:hAnsiTheme="majorHAnsi"/>
          <w:b/>
        </w:rPr>
        <w:t>Péréquation financière</w:t>
      </w:r>
      <w:r>
        <w:rPr>
          <w:rFonts w:asciiTheme="majorHAnsi" w:hAnsiTheme="majorHAnsi"/>
        </w:rPr>
        <w:t xml:space="preserve"> et </w:t>
      </w:r>
      <w:r>
        <w:rPr>
          <w:rFonts w:asciiTheme="majorHAnsi" w:hAnsiTheme="majorHAnsi"/>
          <w:b/>
        </w:rPr>
        <w:t>mesures destinées aux communes supportant des charges particulièrement lourdes</w:t>
      </w:r>
    </w:p>
    <w:p w14:paraId="4F81CF41" w14:textId="51A6ED6D" w:rsidR="001E0DF4" w:rsidRPr="00A5344E" w:rsidRDefault="001E0DF4" w:rsidP="00D323A8">
      <w:pPr>
        <w:pStyle w:val="Aufzhlungszeichen2"/>
        <w:contextualSpacing w:val="0"/>
        <w:rPr>
          <w:rFonts w:asciiTheme="majorHAnsi" w:hAnsiTheme="majorHAnsi" w:cstheme="majorHAnsi"/>
        </w:rPr>
      </w:pPr>
      <w:r>
        <w:rPr>
          <w:rFonts w:asciiTheme="majorHAnsi" w:hAnsiTheme="majorHAnsi"/>
        </w:rPr>
        <w:t>Le facteur d’harmonisation a été redéfini de telle sorte que les communes financièrement les plus faibles ne se retrouvent pas dans une situation plus confortable que les communes financièrement mieux loties. Depuis ce changement, les prestations complémentaires versées dans le cadre de la péréquation financière sont plus équitables.</w:t>
      </w:r>
    </w:p>
    <w:p w14:paraId="41F8C642" w14:textId="77777777" w:rsidR="001E0DF4" w:rsidRPr="00A5344E" w:rsidRDefault="001E0DF4" w:rsidP="00D323A8">
      <w:pPr>
        <w:pStyle w:val="Aufzhlungszeichen2"/>
        <w:contextualSpacing w:val="0"/>
        <w:rPr>
          <w:rFonts w:asciiTheme="majorHAnsi" w:hAnsiTheme="majorHAnsi" w:cstheme="majorHAnsi"/>
        </w:rPr>
      </w:pPr>
      <w:r>
        <w:rPr>
          <w:rFonts w:asciiTheme="majorHAnsi" w:hAnsiTheme="majorHAnsi"/>
        </w:rPr>
        <w:t xml:space="preserve">La dotation minimale n’est plus subordonnée à la condition que la quotité d’impôt de la commune soit supérieure à la moyenne cantonale. Dans le même temps, le Conseil-exécutif a obtenu le pouvoir de réduire, voire de refuser la dotation minimale aux communes jouissant d’une bonne situation financière. </w:t>
      </w:r>
    </w:p>
    <w:p w14:paraId="7FDA9D0D" w14:textId="77777777" w:rsidR="001E0DF4" w:rsidRPr="00A5344E" w:rsidRDefault="001E0DF4" w:rsidP="00D323A8">
      <w:pPr>
        <w:pStyle w:val="Aufzhlungszeichen2"/>
        <w:contextualSpacing w:val="0"/>
        <w:rPr>
          <w:rFonts w:asciiTheme="majorHAnsi" w:hAnsiTheme="majorHAnsi" w:cstheme="majorHAnsi"/>
        </w:rPr>
      </w:pPr>
      <w:r>
        <w:rPr>
          <w:rFonts w:asciiTheme="majorHAnsi" w:hAnsiTheme="majorHAnsi"/>
        </w:rPr>
        <w:t>L’instrument de compensation des charges particulières des communes rurales a été préservé. Cependant, la condition à laquelle il était subordonné (charge fiscale globale élevée) a été supprimée afin d’en éliminer les effets pervers. Cet instrument a donc été transformé en une simple prestation complémentaire géo-topographique. En même temps, le Conseil-exécutif a été habilité à réduire, voire à refuser cette prestation complémentaire aux communes jouissant d’une bonne situation financière.</w:t>
      </w:r>
    </w:p>
    <w:p w14:paraId="00C7FC14" w14:textId="77777777" w:rsidR="001E0DF4" w:rsidRPr="00A5344E" w:rsidRDefault="001E0DF4" w:rsidP="00D323A8">
      <w:pPr>
        <w:pStyle w:val="Aufzhlungszeichen2"/>
        <w:contextualSpacing w:val="0"/>
        <w:rPr>
          <w:rFonts w:asciiTheme="majorHAnsi" w:hAnsiTheme="majorHAnsi" w:cstheme="majorHAnsi"/>
        </w:rPr>
      </w:pPr>
      <w:r>
        <w:rPr>
          <w:rFonts w:asciiTheme="majorHAnsi" w:hAnsiTheme="majorHAnsi"/>
        </w:rPr>
        <w:t>Une prestation complémentaire socio-démographique a été instaurée pour niveler la franchise de 20 pour cent en vigueur pour certaines offres de l’aide sociale institutionnelle.</w:t>
      </w:r>
    </w:p>
    <w:p w14:paraId="131E4497" w14:textId="5CC836D9" w:rsidR="001E0DF4" w:rsidRPr="00A5344E" w:rsidRDefault="001E0DF4" w:rsidP="00D323A8">
      <w:pPr>
        <w:pStyle w:val="Aufzhlungszeichen2"/>
        <w:contextualSpacing w:val="0"/>
        <w:rPr>
          <w:rFonts w:asciiTheme="majorHAnsi" w:hAnsiTheme="majorHAnsi" w:cstheme="majorHAnsi"/>
        </w:rPr>
      </w:pPr>
      <w:r>
        <w:rPr>
          <w:rFonts w:asciiTheme="majorHAnsi" w:hAnsiTheme="majorHAnsi"/>
        </w:rPr>
        <w:t xml:space="preserve">L’indemnisation forfaitaire des charges de centre urbain </w:t>
      </w:r>
      <w:r w:rsidR="0083428B">
        <w:rPr>
          <w:rFonts w:asciiTheme="majorHAnsi" w:hAnsiTheme="majorHAnsi"/>
        </w:rPr>
        <w:t xml:space="preserve">est </w:t>
      </w:r>
      <w:r>
        <w:rPr>
          <w:rFonts w:asciiTheme="majorHAnsi" w:hAnsiTheme="majorHAnsi"/>
        </w:rPr>
        <w:t>rest</w:t>
      </w:r>
      <w:r w:rsidR="0083428B">
        <w:rPr>
          <w:rFonts w:asciiTheme="majorHAnsi" w:hAnsiTheme="majorHAnsi"/>
        </w:rPr>
        <w:t>ée</w:t>
      </w:r>
      <w:r>
        <w:rPr>
          <w:rFonts w:asciiTheme="majorHAnsi" w:hAnsiTheme="majorHAnsi"/>
        </w:rPr>
        <w:t xml:space="preserve"> réservée aux villes de Berne, Bienne et Thoune. Elle a été augmentée en y intégrant les charges culturelles, qui n’étaient pas indemnisées jusque-là, et actualisée en fonction des chiffres de l’époque. Par contre, les charges de centre urbain qui étaient jusque-là déductibles pour le calcul de la capacité contributive ont été circonscrites aux seules charges qui ne sont pas indemnisées, Berthoud et Langenthal profitant donc encore de ce mécanisme.</w:t>
      </w:r>
    </w:p>
    <w:p w14:paraId="0B3A069D" w14:textId="0484C82D" w:rsidR="001E0DF4" w:rsidRPr="00A5344E" w:rsidRDefault="001944E1" w:rsidP="00D323A8">
      <w:pPr>
        <w:pStyle w:val="Aufzhlungszeichen"/>
        <w:contextualSpacing w:val="0"/>
        <w:rPr>
          <w:rFonts w:asciiTheme="majorHAnsi" w:hAnsiTheme="majorHAnsi" w:cstheme="majorHAnsi"/>
        </w:rPr>
      </w:pPr>
      <w:r>
        <w:rPr>
          <w:rFonts w:asciiTheme="majorHAnsi" w:hAnsiTheme="majorHAnsi"/>
          <w:b/>
        </w:rPr>
        <w:t>Action sociale</w:t>
      </w:r>
      <w:r>
        <w:rPr>
          <w:rFonts w:asciiTheme="majorHAnsi" w:hAnsiTheme="majorHAnsi"/>
        </w:rPr>
        <w:t> : parmi les priorités de la réforme figuraient la nouvelle répartition des tâches dans le domaine des personnes âgées et des personnes handicapées, le renforcement du controlling et l’introduction d’une franchise de 20 pour cent pour certaines offres extrafamiliales de l’aide sociale. La franchise est nivelée par la prestation complémentaire socio-démographique qui tient compte des structures sociales de la commune.</w:t>
      </w:r>
    </w:p>
    <w:p w14:paraId="4C1C6507" w14:textId="52F64820" w:rsidR="001E0DF4" w:rsidRPr="00A5344E" w:rsidRDefault="001E0DF4" w:rsidP="00D323A8">
      <w:pPr>
        <w:pStyle w:val="Aufzhlungszeichen"/>
        <w:contextualSpacing w:val="0"/>
        <w:rPr>
          <w:rFonts w:asciiTheme="majorHAnsi" w:hAnsiTheme="majorHAnsi" w:cstheme="majorHAnsi"/>
        </w:rPr>
      </w:pPr>
      <w:r>
        <w:rPr>
          <w:rFonts w:asciiTheme="majorHAnsi" w:hAnsiTheme="majorHAnsi"/>
          <w:b/>
        </w:rPr>
        <w:t>Traitements du corps enseignant</w:t>
      </w:r>
      <w:r>
        <w:rPr>
          <w:rFonts w:asciiTheme="majorHAnsi" w:hAnsiTheme="majorHAnsi"/>
        </w:rPr>
        <w:t xml:space="preserve"> : la compensation des charges </w:t>
      </w:r>
      <w:r w:rsidR="0083428B">
        <w:rPr>
          <w:rFonts w:asciiTheme="majorHAnsi" w:hAnsiTheme="majorHAnsi"/>
        </w:rPr>
        <w:t xml:space="preserve">qui était </w:t>
      </w:r>
      <w:r>
        <w:rPr>
          <w:rFonts w:asciiTheme="majorHAnsi" w:hAnsiTheme="majorHAnsi"/>
        </w:rPr>
        <w:t>en vigueur jusqu’alors a été remplacée par un nouveau modèle de financement (réforme du financement de l’école obligatoire RFEO), qui associe nettement plus les communes à la gestion efficace et économe de l’école. Depuis lors, chaque commune finance la moitié des coûts de traitements du personnel enseignant relevant de leur responsabilité, le canton prenant à sa charge les 50 pour cent restants. Les communes reçoivent en outre des contributions par élève, fixées en fonction de critères topographiques et socio-démographiques. Ces contributions cantonales représentent 20 pour cent des coûts globaux de traitements du corps enseignant, moyennant la même clé de répartition (canton : 70% ; communes : 30%).</w:t>
      </w:r>
    </w:p>
    <w:p w14:paraId="785C9146" w14:textId="77777777" w:rsidR="001E0DF4" w:rsidRPr="00A5344E" w:rsidRDefault="001E0DF4" w:rsidP="00D323A8">
      <w:pPr>
        <w:pStyle w:val="Aufzhlungszeichen"/>
        <w:contextualSpacing w:val="0"/>
        <w:rPr>
          <w:rFonts w:asciiTheme="majorHAnsi" w:hAnsiTheme="majorHAnsi" w:cstheme="majorHAnsi"/>
        </w:rPr>
      </w:pPr>
      <w:r>
        <w:rPr>
          <w:rFonts w:asciiTheme="majorHAnsi" w:hAnsiTheme="majorHAnsi"/>
          <w:b/>
        </w:rPr>
        <w:t>Nouvelle répartition des tâches</w:t>
      </w:r>
      <w:r>
        <w:rPr>
          <w:rFonts w:asciiTheme="majorHAnsi" w:hAnsiTheme="majorHAnsi"/>
        </w:rPr>
        <w:t> : la compensation des charges « nouvelle répartition des tâches » a été instaurée afin de compenser les transferts de charges résultant de la révision 2012 de la LPFC (art. 29b LPFC) et les suivants.</w:t>
      </w:r>
    </w:p>
    <w:p w14:paraId="51F0D578" w14:textId="77777777" w:rsidR="00836EDF" w:rsidRPr="00A5344E" w:rsidRDefault="00836EDF" w:rsidP="00836EDF">
      <w:pPr>
        <w:pStyle w:val="berschrift4"/>
        <w:numPr>
          <w:ilvl w:val="0"/>
          <w:numId w:val="39"/>
        </w:numPr>
        <w:rPr>
          <w:rFonts w:cstheme="majorHAnsi"/>
        </w:rPr>
      </w:pPr>
      <w:r>
        <w:t>Contrôle des résultats de la LPFC</w:t>
      </w:r>
    </w:p>
    <w:p w14:paraId="2057C88F" w14:textId="77777777" w:rsidR="00836EDF" w:rsidRPr="005C3139" w:rsidRDefault="00836EDF" w:rsidP="00836EDF">
      <w:pPr>
        <w:rPr>
          <w:rFonts w:asciiTheme="majorHAnsi" w:hAnsiTheme="majorHAnsi" w:cstheme="majorHAnsi"/>
          <w:szCs w:val="21"/>
        </w:rPr>
      </w:pPr>
      <w:r>
        <w:rPr>
          <w:rFonts w:asciiTheme="majorHAnsi" w:hAnsiTheme="majorHAnsi"/>
        </w:rPr>
        <w:t>Conformément à l’article 4 LPFC, le Conseil-exécutif vérifie au moins tous les quatre ans l’impact de cette loi et présente ensuite au Grand Conseil un rapport ou un projet de modification du texte. Dans son rapport du 24 avril 2024 (rapport LPFC 2024), le Conseil-exécutif présente les conclusions du dernier contrôle, datant de 2022, qui analysait les évolutions intervenues entre 2016 et 2021.</w:t>
      </w:r>
    </w:p>
    <w:p w14:paraId="62B5EB71" w14:textId="77777777" w:rsidR="00836EDF" w:rsidRPr="005C3139" w:rsidRDefault="00836EDF" w:rsidP="00836EDF">
      <w:pPr>
        <w:rPr>
          <w:rFonts w:asciiTheme="majorHAnsi" w:hAnsiTheme="majorHAnsi" w:cstheme="majorHAnsi"/>
          <w:szCs w:val="21"/>
        </w:rPr>
      </w:pPr>
    </w:p>
    <w:p w14:paraId="7816318D" w14:textId="77777777" w:rsidR="00836EDF" w:rsidRPr="00A5344E" w:rsidRDefault="00836EDF" w:rsidP="00836EDF">
      <w:pPr>
        <w:rPr>
          <w:rFonts w:asciiTheme="majorHAnsi" w:hAnsiTheme="majorHAnsi" w:cstheme="majorHAnsi"/>
          <w:szCs w:val="21"/>
        </w:rPr>
      </w:pPr>
      <w:r>
        <w:rPr>
          <w:rFonts w:asciiTheme="majorHAnsi" w:hAnsiTheme="majorHAnsi"/>
        </w:rPr>
        <w:lastRenderedPageBreak/>
        <w:t>Il en a pris connaissance et s’est félicité des résultats positifs de cette évaluation externe. La péréquation financière et de la compensation des charges ont également recueilli une large approbation lors de la mise en consultation de ce rapport. Le Conseil-exécutif a par conséquent estimé qu’il n’y avait pour l’heure pas lieu d’adapter les instruments de la LPFC ni le montant des indemnités réglées par cette loi.</w:t>
      </w:r>
    </w:p>
    <w:p w14:paraId="0677F6D2" w14:textId="77777777" w:rsidR="00836EDF" w:rsidRPr="005C3139" w:rsidRDefault="00836EDF" w:rsidP="00836EDF">
      <w:pPr>
        <w:rPr>
          <w:rFonts w:asciiTheme="majorHAnsi" w:hAnsiTheme="majorHAnsi" w:cstheme="majorHAnsi"/>
          <w:szCs w:val="21"/>
        </w:rPr>
      </w:pPr>
    </w:p>
    <w:p w14:paraId="43448EDC" w14:textId="7033BDC9" w:rsidR="00836EDF" w:rsidRPr="00A5344E" w:rsidRDefault="00836EDF" w:rsidP="00836EDF">
      <w:pPr>
        <w:rPr>
          <w:rFonts w:asciiTheme="majorHAnsi" w:hAnsiTheme="majorHAnsi" w:cstheme="majorHAnsi"/>
          <w:szCs w:val="21"/>
        </w:rPr>
      </w:pPr>
      <w:r>
        <w:rPr>
          <w:rFonts w:asciiTheme="majorHAnsi" w:hAnsiTheme="majorHAnsi"/>
        </w:rPr>
        <w:t>Compte tenu des critiques permanentes concernant la compensation des charges de centre urbain, il s’était uniquement déclaré disposé à réexaminer en profondeur l’actuelle réglementation à ce sujet dès le début de la période suivante d’application de la LPFC, puis à soumettre au Grand Conseil ses conclusions et, le cas échéant, une proposition de modification de la loi. Il avait formulé cinq principes directeurs qui devraient présider à tout nouveau modèle</w:t>
      </w:r>
      <w:r w:rsidRPr="0083428B">
        <w:rPr>
          <w:vertAlign w:val="superscript"/>
        </w:rPr>
        <w:footnoteReference w:id="1"/>
      </w:r>
      <w:r>
        <w:rPr>
          <w:rFonts w:asciiTheme="majorHAnsi" w:hAnsiTheme="majorHAnsi"/>
        </w:rPr>
        <w:t>.</w:t>
      </w:r>
    </w:p>
    <w:p w14:paraId="38296D15" w14:textId="77777777" w:rsidR="00836EDF" w:rsidRPr="00E32917" w:rsidRDefault="00836EDF" w:rsidP="00836EDF">
      <w:pPr>
        <w:rPr>
          <w:rFonts w:asciiTheme="majorHAnsi" w:hAnsiTheme="majorHAnsi" w:cstheme="majorHAnsi"/>
          <w:szCs w:val="21"/>
        </w:rPr>
      </w:pPr>
    </w:p>
    <w:p w14:paraId="284A8C55" w14:textId="77777777" w:rsidR="00836EDF" w:rsidRPr="00E32917" w:rsidRDefault="00836EDF" w:rsidP="00836EDF">
      <w:pPr>
        <w:rPr>
          <w:rFonts w:asciiTheme="majorHAnsi" w:hAnsiTheme="majorHAnsi" w:cstheme="majorHAnsi"/>
          <w:szCs w:val="21"/>
        </w:rPr>
      </w:pPr>
      <w:r>
        <w:rPr>
          <w:rFonts w:asciiTheme="majorHAnsi" w:hAnsiTheme="majorHAnsi"/>
        </w:rPr>
        <w:t>Le Conseil-exécutif a estimé qu’il n’y avait pour l’instant aucune raison de modifier la liste des villes ayant droit à une indemnisation, ni l’indemnité forfaitaire versée aux villes de Berne, Bienne et Thoune. Il a cependant noté que le nouveau recensement des charges de centre urbain faisait apparaître la nécessité d’adapter la répartition de la somme totale entre ces trois villes.</w:t>
      </w:r>
    </w:p>
    <w:p w14:paraId="4EF65A37" w14:textId="77777777" w:rsidR="00836EDF" w:rsidRDefault="00836EDF" w:rsidP="00836EDF">
      <w:pPr>
        <w:rPr>
          <w:rFonts w:asciiTheme="majorHAnsi" w:hAnsiTheme="majorHAnsi" w:cstheme="majorHAnsi"/>
          <w:szCs w:val="21"/>
        </w:rPr>
      </w:pPr>
    </w:p>
    <w:p w14:paraId="1F9D348A" w14:textId="0646F3F6" w:rsidR="005B0AB6" w:rsidRDefault="005B0AB6" w:rsidP="005B0AB6">
      <w:pPr>
        <w:rPr>
          <w:rFonts w:cstheme="minorHAnsi"/>
          <w:bCs w:val="0"/>
          <w:spacing w:val="0"/>
          <w:szCs w:val="21"/>
        </w:rPr>
      </w:pPr>
      <w:r>
        <w:t>Le Grand Conseil a examiné le rapport du Conseil-exécutif sur le contrôle des résultats de la LPFC en 2024, lors de sa session d’automne, et adopté deux déclarations de planification à ce sujet. L’une charge le Conseil-exécutif de lui soumettre, au plus tard durant la session parlementaire d’hiver 2025, un projet d’adaptation de la LPFC prévoyant l’indemnisation forfaitaire des charges de centre urbain des communes de Berthoud et de Langenthal, en plus de Berne, Bienne et Thoune. L’autre lui demande de lui présenter, d’ici fin 2027, une toute nouvelle réglementation des charges de centre urbain dans le cadre d’une nouvelle révision de la loi.</w:t>
      </w:r>
    </w:p>
    <w:p w14:paraId="4B47D9C8" w14:textId="77777777" w:rsidR="005B0AB6" w:rsidRDefault="005B0AB6" w:rsidP="00836EDF">
      <w:pPr>
        <w:rPr>
          <w:rFonts w:asciiTheme="majorHAnsi" w:hAnsiTheme="majorHAnsi" w:cstheme="majorHAnsi"/>
          <w:szCs w:val="21"/>
        </w:rPr>
      </w:pPr>
    </w:p>
    <w:p w14:paraId="1B5D3519" w14:textId="0C28DDA3" w:rsidR="00836EDF" w:rsidRPr="00A5344E" w:rsidRDefault="00836EDF" w:rsidP="00A513C6">
      <w:pPr>
        <w:pStyle w:val="Textkrper"/>
        <w:rPr>
          <w:rFonts w:asciiTheme="majorHAnsi" w:hAnsiTheme="majorHAnsi" w:cstheme="majorHAnsi"/>
        </w:rPr>
      </w:pPr>
      <w:bookmarkStart w:id="54" w:name="_Toc158126538"/>
      <w:r>
        <w:rPr>
          <w:rFonts w:asciiTheme="majorHAnsi" w:hAnsiTheme="majorHAnsi"/>
          <w:b/>
        </w:rPr>
        <w:t>Modifications de la LPFC depuis le dernier contrôle des résultats</w:t>
      </w:r>
      <w:bookmarkEnd w:id="54"/>
    </w:p>
    <w:p w14:paraId="61CAC6E3" w14:textId="77777777" w:rsidR="00836EDF" w:rsidRPr="00A5344E" w:rsidRDefault="00836EDF" w:rsidP="00836EDF">
      <w:pPr>
        <w:rPr>
          <w:rFonts w:asciiTheme="majorHAnsi" w:hAnsiTheme="majorHAnsi" w:cstheme="majorHAnsi"/>
          <w:szCs w:val="21"/>
        </w:rPr>
      </w:pPr>
    </w:p>
    <w:p w14:paraId="3B3CE541" w14:textId="77777777" w:rsidR="00836EDF" w:rsidRPr="00A5344E" w:rsidRDefault="00836EDF" w:rsidP="00836EDF">
      <w:pPr>
        <w:rPr>
          <w:rFonts w:asciiTheme="majorHAnsi" w:hAnsiTheme="majorHAnsi" w:cstheme="majorHAnsi"/>
          <w:szCs w:val="21"/>
        </w:rPr>
      </w:pPr>
      <w:r>
        <w:rPr>
          <w:rFonts w:asciiTheme="majorHAnsi" w:hAnsiTheme="majorHAnsi"/>
        </w:rPr>
        <w:t>Bien que les bases légales n’aient guère changé depuis 2016, date de l’avant dernier contrôle des résultats de la LPFC, les modifications ci-après méritent d’être signalées.</w:t>
      </w:r>
    </w:p>
    <w:p w14:paraId="2A33D2F2" w14:textId="77777777" w:rsidR="00836EDF" w:rsidRPr="00A5344E" w:rsidRDefault="00836EDF" w:rsidP="00836EDF">
      <w:pPr>
        <w:pStyle w:val="Listenabsatz"/>
        <w:numPr>
          <w:ilvl w:val="0"/>
          <w:numId w:val="41"/>
        </w:numPr>
        <w:ind w:left="357" w:hanging="357"/>
        <w:contextualSpacing w:val="0"/>
        <w:rPr>
          <w:rFonts w:asciiTheme="majorHAnsi" w:hAnsiTheme="majorHAnsi" w:cstheme="majorHAnsi"/>
          <w:szCs w:val="21"/>
        </w:rPr>
      </w:pPr>
      <w:r>
        <w:rPr>
          <w:rFonts w:asciiTheme="majorHAnsi" w:hAnsiTheme="majorHAnsi"/>
        </w:rPr>
        <w:t>Prestation complémentaire socio-démographique : l’indice déterminant son octroi tient désormais aussi compte du nombre de personnes réfugiées qui habitent dans la commune.</w:t>
      </w:r>
    </w:p>
    <w:p w14:paraId="213049B6" w14:textId="107EEAEE" w:rsidR="00836EDF" w:rsidRPr="00F978FE" w:rsidRDefault="00836EDF" w:rsidP="00836EDF">
      <w:pPr>
        <w:pStyle w:val="Listenabsatz"/>
        <w:numPr>
          <w:ilvl w:val="0"/>
          <w:numId w:val="41"/>
        </w:numPr>
        <w:ind w:left="357" w:hanging="357"/>
        <w:contextualSpacing w:val="0"/>
        <w:rPr>
          <w:rFonts w:asciiTheme="majorHAnsi" w:hAnsiTheme="majorHAnsi" w:cstheme="majorHAnsi"/>
          <w:szCs w:val="21"/>
        </w:rPr>
      </w:pPr>
      <w:r>
        <w:rPr>
          <w:rFonts w:asciiTheme="majorHAnsi" w:hAnsiTheme="majorHAnsi"/>
        </w:rPr>
        <w:t xml:space="preserve">CC Action sociale : </w:t>
      </w:r>
      <w:r w:rsidR="0083428B">
        <w:rPr>
          <w:rFonts w:asciiTheme="majorHAnsi" w:hAnsiTheme="majorHAnsi"/>
        </w:rPr>
        <w:t xml:space="preserve">en 2018, </w:t>
      </w:r>
      <w:r>
        <w:rPr>
          <w:rFonts w:asciiTheme="majorHAnsi" w:hAnsiTheme="majorHAnsi"/>
        </w:rPr>
        <w:t>le Conseil-exécutif a supprimé le système de bonus-malus qui avait été instauré lors de la réforme LPFC 2012. Indépendamment de ce changement, les coûts salariaux des services sociaux sont désormais pris en compte sous forme de forfaits dans la compensation des charges.</w:t>
      </w:r>
    </w:p>
    <w:p w14:paraId="54887CA5" w14:textId="28B13F50" w:rsidR="00836EDF" w:rsidRPr="00F978FE" w:rsidRDefault="00836EDF" w:rsidP="00836EDF">
      <w:pPr>
        <w:pStyle w:val="Listenabsatz"/>
        <w:numPr>
          <w:ilvl w:val="0"/>
          <w:numId w:val="41"/>
        </w:numPr>
        <w:ind w:left="357" w:hanging="357"/>
        <w:contextualSpacing w:val="0"/>
        <w:rPr>
          <w:rFonts w:asciiTheme="majorHAnsi" w:hAnsiTheme="majorHAnsi" w:cstheme="majorHAnsi"/>
          <w:szCs w:val="21"/>
        </w:rPr>
      </w:pPr>
      <w:r>
        <w:rPr>
          <w:rFonts w:asciiTheme="majorHAnsi" w:hAnsiTheme="majorHAnsi"/>
        </w:rPr>
        <w:t xml:space="preserve">CC </w:t>
      </w:r>
      <w:r w:rsidR="0083428B">
        <w:rPr>
          <w:rFonts w:asciiTheme="majorHAnsi" w:hAnsiTheme="majorHAnsi"/>
        </w:rPr>
        <w:t>« </w:t>
      </w:r>
      <w:r>
        <w:rPr>
          <w:rFonts w:asciiTheme="majorHAnsi" w:hAnsiTheme="majorHAnsi"/>
        </w:rPr>
        <w:t>Nouvelle répartition des tâches</w:t>
      </w:r>
      <w:r w:rsidR="0083428B">
        <w:rPr>
          <w:rFonts w:asciiTheme="majorHAnsi" w:hAnsiTheme="majorHAnsi"/>
        </w:rPr>
        <w:t> »</w:t>
      </w:r>
      <w:r>
        <w:rPr>
          <w:rFonts w:asciiTheme="majorHAnsi" w:hAnsiTheme="majorHAnsi"/>
        </w:rPr>
        <w:t> : dans les domaines de l’asile et des réfugiés ainsi que de l’école obligatoire, la compensation des charges a été enrichie de quelques éléments bénéficiant environ pour moitié au canton et pour moitié aux communes. Ces changements n’ont que très légèrement modifié la compensation des charges dans son ensemble.</w:t>
      </w:r>
    </w:p>
    <w:p w14:paraId="1322A242" w14:textId="0450F25B" w:rsidR="00836EDF" w:rsidRPr="00A5344E" w:rsidRDefault="00836EDF" w:rsidP="00836EDF">
      <w:pPr>
        <w:rPr>
          <w:rFonts w:asciiTheme="majorHAnsi" w:hAnsiTheme="majorHAnsi" w:cstheme="majorHAnsi"/>
          <w:szCs w:val="21"/>
        </w:rPr>
      </w:pPr>
      <w:r>
        <w:rPr>
          <w:rFonts w:asciiTheme="majorHAnsi" w:hAnsiTheme="majorHAnsi"/>
        </w:rPr>
        <w:t>Il est possible que d’autres modifications susceptibles d’influer sur les mécanismes et le volume de la compensation des charges de l’action sociale interviennent ces prochaines années à la suite de la révision totale de la loi du 11 juin 2001 sur l’aide sociale (LASoc ; RSB 860.1).</w:t>
      </w:r>
    </w:p>
    <w:p w14:paraId="0C1F72CC" w14:textId="77777777" w:rsidR="00836EDF" w:rsidRPr="00A5344E" w:rsidRDefault="00836EDF" w:rsidP="00836EDF">
      <w:pPr>
        <w:pStyle w:val="Aufzhlungszeichen"/>
        <w:numPr>
          <w:ilvl w:val="0"/>
          <w:numId w:val="0"/>
        </w:numPr>
        <w:ind w:left="284" w:hanging="284"/>
        <w:contextualSpacing w:val="0"/>
        <w:rPr>
          <w:rFonts w:asciiTheme="majorHAnsi" w:hAnsiTheme="majorHAnsi" w:cstheme="majorHAnsi"/>
        </w:rPr>
      </w:pPr>
    </w:p>
    <w:p w14:paraId="73FD7037" w14:textId="7E2294A1" w:rsidR="001E0DF4" w:rsidRPr="00A5344E" w:rsidRDefault="001E0DF4" w:rsidP="001E0DF4">
      <w:pPr>
        <w:pStyle w:val="H1"/>
        <w:numPr>
          <w:ilvl w:val="0"/>
          <w:numId w:val="0"/>
        </w:numPr>
        <w:ind w:left="851"/>
        <w:rPr>
          <w:rFonts w:cstheme="majorHAnsi"/>
        </w:rPr>
      </w:pPr>
      <w:bookmarkStart w:id="55" w:name="_Toc196227263"/>
      <w:r>
        <w:lastRenderedPageBreak/>
        <w:t>Annexe 2 :</w:t>
      </w:r>
      <w:r w:rsidR="006E565B">
        <w:t xml:space="preserve"> </w:t>
      </w:r>
      <w:r>
        <w:t>Bases de l’affinement des dispositifs de la LPFC</w:t>
      </w:r>
      <w:bookmarkEnd w:id="55"/>
    </w:p>
    <w:tbl>
      <w:tblPr>
        <w:tblStyle w:val="Ecoplankombi"/>
        <w:tblW w:w="5000" w:type="pct"/>
        <w:tblLook w:val="01E0" w:firstRow="1" w:lastRow="1" w:firstColumn="1" w:lastColumn="1" w:noHBand="0" w:noVBand="0"/>
      </w:tblPr>
      <w:tblGrid>
        <w:gridCol w:w="2489"/>
        <w:gridCol w:w="3280"/>
        <w:gridCol w:w="4069"/>
      </w:tblGrid>
      <w:tr w:rsidR="00F9794B" w:rsidRPr="00F9794B" w14:paraId="70C33883" w14:textId="77777777" w:rsidTr="001441EF">
        <w:trPr>
          <w:cnfStyle w:val="100000000000" w:firstRow="1" w:lastRow="0" w:firstColumn="0" w:lastColumn="0" w:oddVBand="0" w:evenVBand="0" w:oddHBand="0" w:evenHBand="0" w:firstRowFirstColumn="0" w:firstRowLastColumn="0" w:lastRowFirstColumn="0" w:lastRowLastColumn="0"/>
        </w:trPr>
        <w:tc>
          <w:tcPr>
            <w:tcW w:w="1265" w:type="pct"/>
            <w:shd w:val="clear" w:color="auto" w:fill="3C505A" w:themeFill="accent1"/>
          </w:tcPr>
          <w:p w14:paraId="2FE47AA6" w14:textId="77777777" w:rsidR="001E0DF4" w:rsidRPr="009701B5" w:rsidRDefault="001E0DF4" w:rsidP="001441EF">
            <w:pPr>
              <w:pStyle w:val="Tabellentext"/>
              <w:rPr>
                <w:rFonts w:asciiTheme="majorHAnsi" w:hAnsiTheme="majorHAnsi" w:cstheme="majorHAnsi"/>
                <w:b/>
                <w:bCs/>
                <w:color w:val="FFFFFF" w:themeColor="background1"/>
              </w:rPr>
            </w:pPr>
            <w:r>
              <w:rPr>
                <w:rFonts w:asciiTheme="majorHAnsi" w:hAnsiTheme="majorHAnsi"/>
                <w:b/>
                <w:color w:val="FFFFFF" w:themeColor="background1"/>
              </w:rPr>
              <w:t>Domaine / instrument</w:t>
            </w:r>
          </w:p>
        </w:tc>
        <w:tc>
          <w:tcPr>
            <w:tcW w:w="1667" w:type="pct"/>
            <w:shd w:val="clear" w:color="auto" w:fill="3C505A" w:themeFill="accent1"/>
          </w:tcPr>
          <w:p w14:paraId="6B4210A3" w14:textId="77777777" w:rsidR="001E0DF4" w:rsidRPr="009701B5" w:rsidRDefault="001E0DF4" w:rsidP="001441EF">
            <w:pPr>
              <w:pStyle w:val="Tabellentext"/>
              <w:rPr>
                <w:rFonts w:asciiTheme="majorHAnsi" w:hAnsiTheme="majorHAnsi" w:cstheme="majorHAnsi"/>
                <w:b/>
                <w:bCs/>
                <w:color w:val="FFFFFF" w:themeColor="background1"/>
              </w:rPr>
            </w:pPr>
            <w:r>
              <w:rPr>
                <w:rFonts w:asciiTheme="majorHAnsi" w:hAnsiTheme="majorHAnsi"/>
                <w:b/>
                <w:color w:val="FFFFFF" w:themeColor="background1"/>
              </w:rPr>
              <w:t>Bases légales</w:t>
            </w:r>
          </w:p>
        </w:tc>
        <w:tc>
          <w:tcPr>
            <w:tcW w:w="2068" w:type="pct"/>
            <w:shd w:val="clear" w:color="auto" w:fill="3C505A" w:themeFill="accent1"/>
          </w:tcPr>
          <w:p w14:paraId="6085315A" w14:textId="77777777" w:rsidR="001E0DF4" w:rsidRPr="009701B5" w:rsidRDefault="001E0DF4" w:rsidP="001441EF">
            <w:pPr>
              <w:pStyle w:val="Tabellentext"/>
              <w:rPr>
                <w:rFonts w:asciiTheme="majorHAnsi" w:hAnsiTheme="majorHAnsi" w:cstheme="majorHAnsi"/>
                <w:b/>
                <w:bCs/>
                <w:color w:val="FFFFFF" w:themeColor="background1"/>
              </w:rPr>
            </w:pPr>
            <w:r>
              <w:rPr>
                <w:rFonts w:asciiTheme="majorHAnsi" w:hAnsiTheme="majorHAnsi"/>
                <w:b/>
                <w:color w:val="FFFFFF" w:themeColor="background1"/>
              </w:rPr>
              <w:t>Paramètres</w:t>
            </w:r>
          </w:p>
        </w:tc>
      </w:tr>
      <w:tr w:rsidR="001E0DF4" w:rsidRPr="00A5344E" w14:paraId="5D08D3A5" w14:textId="77777777" w:rsidTr="001441EF">
        <w:trPr>
          <w:cnfStyle w:val="000000100000" w:firstRow="0" w:lastRow="0" w:firstColumn="0" w:lastColumn="0" w:oddVBand="0" w:evenVBand="0" w:oddHBand="1" w:evenHBand="0" w:firstRowFirstColumn="0" w:firstRowLastColumn="0" w:lastRowFirstColumn="0" w:lastRowLastColumn="0"/>
        </w:trPr>
        <w:tc>
          <w:tcPr>
            <w:tcW w:w="1265" w:type="pct"/>
            <w:shd w:val="clear" w:color="auto" w:fill="A8BBC5" w:themeFill="accent1" w:themeFillTint="66"/>
          </w:tcPr>
          <w:p w14:paraId="0C5BEC3C" w14:textId="77777777" w:rsidR="001E0DF4" w:rsidRPr="00A5344E" w:rsidRDefault="001E0DF4" w:rsidP="001441EF">
            <w:pPr>
              <w:pStyle w:val="Tabellentext"/>
              <w:rPr>
                <w:rFonts w:asciiTheme="majorHAnsi" w:hAnsiTheme="majorHAnsi" w:cstheme="majorHAnsi"/>
              </w:rPr>
            </w:pPr>
            <w:r>
              <w:rPr>
                <w:rFonts w:asciiTheme="majorHAnsi" w:hAnsiTheme="majorHAnsi"/>
              </w:rPr>
              <w:t xml:space="preserve">Péréquation financière </w:t>
            </w:r>
          </w:p>
        </w:tc>
        <w:tc>
          <w:tcPr>
            <w:tcW w:w="1667" w:type="pct"/>
            <w:shd w:val="clear" w:color="auto" w:fill="A8BBC5" w:themeFill="accent1" w:themeFillTint="66"/>
          </w:tcPr>
          <w:p w14:paraId="3D8269FA" w14:textId="77777777" w:rsidR="001E0DF4" w:rsidRPr="00A5344E" w:rsidRDefault="001E0DF4" w:rsidP="001441EF">
            <w:pPr>
              <w:pStyle w:val="Tabellentext"/>
              <w:rPr>
                <w:rFonts w:asciiTheme="majorHAnsi" w:hAnsiTheme="majorHAnsi" w:cstheme="majorHAnsi"/>
                <w:lang w:eastAsia="de-CH"/>
              </w:rPr>
            </w:pPr>
          </w:p>
        </w:tc>
        <w:tc>
          <w:tcPr>
            <w:tcW w:w="2068" w:type="pct"/>
            <w:shd w:val="clear" w:color="auto" w:fill="A8BBC5" w:themeFill="accent1" w:themeFillTint="66"/>
          </w:tcPr>
          <w:p w14:paraId="4F286DCB" w14:textId="77777777" w:rsidR="001E0DF4" w:rsidRPr="00A5344E" w:rsidRDefault="001E0DF4" w:rsidP="001441EF">
            <w:pPr>
              <w:pStyle w:val="Tabellentext"/>
              <w:rPr>
                <w:rFonts w:asciiTheme="majorHAnsi" w:hAnsiTheme="majorHAnsi" w:cstheme="majorHAnsi"/>
                <w:lang w:eastAsia="de-CH"/>
              </w:rPr>
            </w:pPr>
          </w:p>
        </w:tc>
      </w:tr>
      <w:tr w:rsidR="001E0DF4" w:rsidRPr="00A5344E" w14:paraId="70A30E57" w14:textId="77777777" w:rsidTr="001441EF">
        <w:trPr>
          <w:cnfStyle w:val="000000010000" w:firstRow="0" w:lastRow="0" w:firstColumn="0" w:lastColumn="0" w:oddVBand="0" w:evenVBand="0" w:oddHBand="0" w:evenHBand="1" w:firstRowFirstColumn="0" w:firstRowLastColumn="0" w:lastRowFirstColumn="0" w:lastRowLastColumn="0"/>
        </w:trPr>
        <w:tc>
          <w:tcPr>
            <w:tcW w:w="1265" w:type="pct"/>
          </w:tcPr>
          <w:p w14:paraId="36AC450C" w14:textId="77777777" w:rsidR="001E0DF4" w:rsidRPr="00A5344E" w:rsidRDefault="001E0DF4" w:rsidP="001441EF">
            <w:pPr>
              <w:pStyle w:val="Tabellentext"/>
              <w:rPr>
                <w:rFonts w:asciiTheme="majorHAnsi" w:hAnsiTheme="majorHAnsi" w:cstheme="majorHAnsi"/>
                <w:bCs/>
              </w:rPr>
            </w:pPr>
            <w:r>
              <w:rPr>
                <w:rFonts w:asciiTheme="majorHAnsi" w:hAnsiTheme="majorHAnsi"/>
              </w:rPr>
              <w:t>Réduction des disparités</w:t>
            </w:r>
          </w:p>
        </w:tc>
        <w:tc>
          <w:tcPr>
            <w:tcW w:w="1667" w:type="pct"/>
          </w:tcPr>
          <w:p w14:paraId="09E1AA9D" w14:textId="2B581261" w:rsidR="001E0DF4" w:rsidRPr="00A5344E" w:rsidRDefault="001E0DF4" w:rsidP="001441EF">
            <w:pPr>
              <w:pStyle w:val="Tabellentext"/>
              <w:rPr>
                <w:rFonts w:asciiTheme="majorHAnsi" w:hAnsiTheme="majorHAnsi" w:cstheme="majorHAnsi"/>
              </w:rPr>
            </w:pPr>
            <w:r>
              <w:rPr>
                <w:rFonts w:asciiTheme="majorHAnsi" w:hAnsiTheme="majorHAnsi"/>
              </w:rPr>
              <w:t>Art. 10 LPFC (fourchette de 37% à 42%)</w:t>
            </w:r>
          </w:p>
          <w:p w14:paraId="315B06ED" w14:textId="77777777" w:rsidR="001E0DF4" w:rsidRPr="00A5344E" w:rsidRDefault="001E0DF4" w:rsidP="001441EF">
            <w:pPr>
              <w:pStyle w:val="Tabellentext"/>
              <w:rPr>
                <w:rFonts w:asciiTheme="majorHAnsi" w:hAnsiTheme="majorHAnsi" w:cstheme="majorHAnsi"/>
              </w:rPr>
            </w:pPr>
            <w:r>
              <w:rPr>
                <w:rFonts w:asciiTheme="majorHAnsi" w:hAnsiTheme="majorHAnsi"/>
              </w:rPr>
              <w:t>Art. 8 OPFC (taux déterminant)</w:t>
            </w:r>
          </w:p>
        </w:tc>
        <w:tc>
          <w:tcPr>
            <w:tcW w:w="2068" w:type="pct"/>
          </w:tcPr>
          <w:p w14:paraId="0C258D4A" w14:textId="77777777" w:rsidR="001E0DF4" w:rsidRPr="00A5344E" w:rsidRDefault="001E0DF4" w:rsidP="001441EF">
            <w:pPr>
              <w:pStyle w:val="Tabellentext"/>
              <w:rPr>
                <w:rFonts w:asciiTheme="majorHAnsi" w:hAnsiTheme="majorHAnsi" w:cstheme="majorHAnsi"/>
              </w:rPr>
            </w:pPr>
            <w:r>
              <w:rPr>
                <w:rFonts w:asciiTheme="majorHAnsi" w:hAnsiTheme="majorHAnsi"/>
              </w:rPr>
              <w:t>Taux déterminant pour la réduction des disparités</w:t>
            </w:r>
          </w:p>
          <w:p w14:paraId="17AA0589" w14:textId="7052927F" w:rsidR="001E0DF4" w:rsidRPr="00A5344E" w:rsidRDefault="001E0DF4" w:rsidP="001441EF">
            <w:pPr>
              <w:pStyle w:val="Tabellentext"/>
              <w:rPr>
                <w:rFonts w:asciiTheme="majorHAnsi" w:hAnsiTheme="majorHAnsi" w:cstheme="majorHAnsi"/>
                <w:bCs/>
              </w:rPr>
            </w:pPr>
            <w:r>
              <w:rPr>
                <w:rFonts w:asciiTheme="majorHAnsi" w:hAnsiTheme="majorHAnsi"/>
              </w:rPr>
              <w:t>Actuellement : 37 pour cent</w:t>
            </w:r>
          </w:p>
        </w:tc>
      </w:tr>
      <w:tr w:rsidR="001E0DF4" w:rsidRPr="00A5344E" w14:paraId="39F41D76" w14:textId="77777777" w:rsidTr="001441EF">
        <w:trPr>
          <w:cnfStyle w:val="000000100000" w:firstRow="0" w:lastRow="0" w:firstColumn="0" w:lastColumn="0" w:oddVBand="0" w:evenVBand="0" w:oddHBand="1" w:evenHBand="0" w:firstRowFirstColumn="0" w:firstRowLastColumn="0" w:lastRowFirstColumn="0" w:lastRowLastColumn="0"/>
        </w:trPr>
        <w:tc>
          <w:tcPr>
            <w:tcW w:w="1265" w:type="pct"/>
          </w:tcPr>
          <w:p w14:paraId="3A6A1AF0" w14:textId="77777777" w:rsidR="001E0DF4" w:rsidRPr="00A5344E" w:rsidRDefault="001E0DF4" w:rsidP="001441EF">
            <w:pPr>
              <w:pStyle w:val="Tabellentext"/>
              <w:rPr>
                <w:rFonts w:asciiTheme="majorHAnsi" w:hAnsiTheme="majorHAnsi" w:cstheme="majorHAnsi"/>
                <w:bCs/>
              </w:rPr>
            </w:pPr>
            <w:r>
              <w:rPr>
                <w:rFonts w:asciiTheme="majorHAnsi" w:hAnsiTheme="majorHAnsi"/>
              </w:rPr>
              <w:t>Dotation minimale</w:t>
            </w:r>
          </w:p>
        </w:tc>
        <w:tc>
          <w:tcPr>
            <w:tcW w:w="1667" w:type="pct"/>
          </w:tcPr>
          <w:p w14:paraId="1398426E" w14:textId="77777777" w:rsidR="001E0DF4" w:rsidRPr="00A5344E" w:rsidRDefault="001E0DF4" w:rsidP="001441EF">
            <w:pPr>
              <w:pStyle w:val="Tabellentext"/>
              <w:rPr>
                <w:rFonts w:asciiTheme="majorHAnsi" w:hAnsiTheme="majorHAnsi" w:cstheme="majorHAnsi"/>
              </w:rPr>
            </w:pPr>
            <w:r>
              <w:rPr>
                <w:rFonts w:asciiTheme="majorHAnsi" w:hAnsiTheme="majorHAnsi"/>
              </w:rPr>
              <w:t>Art. 11 LPFC (fourchette IRH : 75 à 90)</w:t>
            </w:r>
          </w:p>
          <w:p w14:paraId="53393640" w14:textId="77777777" w:rsidR="001E0DF4" w:rsidRPr="00A5344E" w:rsidRDefault="001E0DF4" w:rsidP="001441EF">
            <w:pPr>
              <w:pStyle w:val="Tabellentext"/>
              <w:rPr>
                <w:rFonts w:asciiTheme="majorHAnsi" w:hAnsiTheme="majorHAnsi" w:cstheme="majorHAnsi"/>
              </w:rPr>
            </w:pPr>
            <w:r>
              <w:rPr>
                <w:rFonts w:asciiTheme="majorHAnsi" w:hAnsiTheme="majorHAnsi"/>
              </w:rPr>
              <w:t>Art. 8 OPFC (IRH déterminant)</w:t>
            </w:r>
          </w:p>
        </w:tc>
        <w:tc>
          <w:tcPr>
            <w:tcW w:w="2068" w:type="pct"/>
          </w:tcPr>
          <w:p w14:paraId="54E3093E" w14:textId="77777777" w:rsidR="001E0DF4" w:rsidRPr="00A5344E" w:rsidRDefault="001E0DF4" w:rsidP="001441EF">
            <w:pPr>
              <w:pStyle w:val="Tabellentext"/>
              <w:rPr>
                <w:rFonts w:asciiTheme="majorHAnsi" w:hAnsiTheme="majorHAnsi" w:cstheme="majorHAnsi"/>
              </w:rPr>
            </w:pPr>
            <w:r>
              <w:rPr>
                <w:rFonts w:asciiTheme="majorHAnsi" w:hAnsiTheme="majorHAnsi"/>
              </w:rPr>
              <w:t>Indice de rendement fiscal harmonisé (IRH) déterminant pour l’octroi de la dotation minimale</w:t>
            </w:r>
          </w:p>
          <w:p w14:paraId="24E6811E" w14:textId="77777777" w:rsidR="001E0DF4" w:rsidRPr="00A5344E" w:rsidRDefault="001E0DF4" w:rsidP="001441EF">
            <w:pPr>
              <w:pStyle w:val="Tabellentext"/>
              <w:rPr>
                <w:rFonts w:asciiTheme="majorHAnsi" w:hAnsiTheme="majorHAnsi" w:cstheme="majorHAnsi"/>
                <w:bCs/>
              </w:rPr>
            </w:pPr>
            <w:r>
              <w:rPr>
                <w:rFonts w:asciiTheme="majorHAnsi" w:hAnsiTheme="majorHAnsi"/>
              </w:rPr>
              <w:t>Actuellement : 86</w:t>
            </w:r>
          </w:p>
        </w:tc>
      </w:tr>
      <w:tr w:rsidR="001E0DF4" w:rsidRPr="00A5344E" w14:paraId="5A2442B1" w14:textId="77777777" w:rsidTr="001441EF">
        <w:trPr>
          <w:cnfStyle w:val="000000010000" w:firstRow="0" w:lastRow="0" w:firstColumn="0" w:lastColumn="0" w:oddVBand="0" w:evenVBand="0" w:oddHBand="0" w:evenHBand="1" w:firstRowFirstColumn="0" w:firstRowLastColumn="0" w:lastRowFirstColumn="0" w:lastRowLastColumn="0"/>
        </w:trPr>
        <w:tc>
          <w:tcPr>
            <w:tcW w:w="5000" w:type="pct"/>
            <w:gridSpan w:val="3"/>
            <w:shd w:val="clear" w:color="auto" w:fill="A8BBC5" w:themeFill="accent1" w:themeFillTint="66"/>
          </w:tcPr>
          <w:p w14:paraId="651B0F3B" w14:textId="77777777" w:rsidR="001E0DF4" w:rsidRPr="00A5344E" w:rsidRDefault="001E0DF4" w:rsidP="001441EF">
            <w:pPr>
              <w:pStyle w:val="Tabellentext"/>
              <w:rPr>
                <w:rFonts w:asciiTheme="majorHAnsi" w:hAnsiTheme="majorHAnsi" w:cstheme="majorHAnsi"/>
              </w:rPr>
            </w:pPr>
            <w:r>
              <w:rPr>
                <w:rFonts w:asciiTheme="majorHAnsi" w:hAnsiTheme="majorHAnsi"/>
              </w:rPr>
              <w:t>Mesures en faveur des communes supportant des charges particulièrement lourdes</w:t>
            </w:r>
          </w:p>
        </w:tc>
      </w:tr>
      <w:tr w:rsidR="001E0DF4" w:rsidRPr="00A5344E" w14:paraId="2A1A31CB" w14:textId="77777777" w:rsidTr="001441EF">
        <w:trPr>
          <w:cnfStyle w:val="000000100000" w:firstRow="0" w:lastRow="0" w:firstColumn="0" w:lastColumn="0" w:oddVBand="0" w:evenVBand="0" w:oddHBand="1" w:evenHBand="0" w:firstRowFirstColumn="0" w:firstRowLastColumn="0" w:lastRowFirstColumn="0" w:lastRowLastColumn="0"/>
        </w:trPr>
        <w:tc>
          <w:tcPr>
            <w:tcW w:w="1265" w:type="pct"/>
          </w:tcPr>
          <w:p w14:paraId="3C1F6E99" w14:textId="77777777" w:rsidR="001E0DF4" w:rsidRPr="00A5344E" w:rsidRDefault="001E0DF4" w:rsidP="001441EF">
            <w:pPr>
              <w:pStyle w:val="Tabellentext"/>
              <w:rPr>
                <w:rFonts w:asciiTheme="majorHAnsi" w:hAnsiTheme="majorHAnsi" w:cstheme="majorHAnsi"/>
              </w:rPr>
            </w:pPr>
            <w:r>
              <w:rPr>
                <w:rFonts w:asciiTheme="majorHAnsi" w:hAnsiTheme="majorHAnsi"/>
              </w:rPr>
              <w:t>Indemnisation des charges de centre urbain</w:t>
            </w:r>
          </w:p>
        </w:tc>
        <w:tc>
          <w:tcPr>
            <w:tcW w:w="1667" w:type="pct"/>
          </w:tcPr>
          <w:p w14:paraId="1CE2A572" w14:textId="77777777" w:rsidR="001E0DF4" w:rsidRPr="00A5344E" w:rsidRDefault="001E0DF4" w:rsidP="001441EF">
            <w:pPr>
              <w:pStyle w:val="Tabellentext"/>
              <w:rPr>
                <w:rFonts w:asciiTheme="majorHAnsi" w:hAnsiTheme="majorHAnsi" w:cstheme="majorHAnsi"/>
              </w:rPr>
            </w:pPr>
            <w:r>
              <w:rPr>
                <w:rFonts w:asciiTheme="majorHAnsi" w:hAnsiTheme="majorHAnsi"/>
              </w:rPr>
              <w:t>Art. 15 et 16 LPFC (Berne, Bienne et Thoune)</w:t>
            </w:r>
          </w:p>
          <w:p w14:paraId="3DF1D34A" w14:textId="77777777" w:rsidR="001E0DF4" w:rsidRPr="00A5344E" w:rsidRDefault="001E0DF4" w:rsidP="001441EF">
            <w:pPr>
              <w:pStyle w:val="Tabellentext"/>
              <w:rPr>
                <w:rFonts w:asciiTheme="majorHAnsi" w:hAnsiTheme="majorHAnsi" w:cstheme="majorHAnsi"/>
              </w:rPr>
            </w:pPr>
            <w:r>
              <w:rPr>
                <w:rFonts w:asciiTheme="majorHAnsi" w:hAnsiTheme="majorHAnsi"/>
              </w:rPr>
              <w:t>Art. 9 et 10 OPFC (méthode, calcul)</w:t>
            </w:r>
          </w:p>
        </w:tc>
        <w:tc>
          <w:tcPr>
            <w:tcW w:w="2068" w:type="pct"/>
          </w:tcPr>
          <w:p w14:paraId="1B370DD4" w14:textId="07877E0D" w:rsidR="001E0DF4" w:rsidRPr="00A5344E" w:rsidRDefault="001E0DF4" w:rsidP="001441EF">
            <w:pPr>
              <w:pStyle w:val="Tabellentext"/>
              <w:rPr>
                <w:rFonts w:asciiTheme="majorHAnsi" w:hAnsiTheme="majorHAnsi" w:cstheme="majorHAnsi"/>
              </w:rPr>
            </w:pPr>
            <w:r>
              <w:rPr>
                <w:rFonts w:asciiTheme="majorHAnsi" w:hAnsiTheme="majorHAnsi"/>
              </w:rPr>
              <w:t>Reporting des charges de centre urbain</w:t>
            </w:r>
          </w:p>
        </w:tc>
      </w:tr>
      <w:tr w:rsidR="001E0DF4" w:rsidRPr="00A5344E" w14:paraId="3B22DFB8" w14:textId="77777777" w:rsidTr="001441EF">
        <w:trPr>
          <w:cnfStyle w:val="000000010000" w:firstRow="0" w:lastRow="0" w:firstColumn="0" w:lastColumn="0" w:oddVBand="0" w:evenVBand="0" w:oddHBand="0" w:evenHBand="1" w:firstRowFirstColumn="0" w:firstRowLastColumn="0" w:lastRowFirstColumn="0" w:lastRowLastColumn="0"/>
        </w:trPr>
        <w:tc>
          <w:tcPr>
            <w:tcW w:w="1265" w:type="pct"/>
            <w:vMerge w:val="restart"/>
          </w:tcPr>
          <w:p w14:paraId="49F50B6E" w14:textId="77777777" w:rsidR="001E0DF4" w:rsidRPr="00A5344E" w:rsidRDefault="001E0DF4" w:rsidP="001441EF">
            <w:pPr>
              <w:pStyle w:val="Tabellentext"/>
              <w:rPr>
                <w:rFonts w:asciiTheme="majorHAnsi" w:eastAsia="MS PGothic" w:hAnsiTheme="majorHAnsi" w:cstheme="majorHAnsi"/>
              </w:rPr>
            </w:pPr>
            <w:r>
              <w:rPr>
                <w:rFonts w:asciiTheme="majorHAnsi" w:hAnsiTheme="majorHAnsi"/>
              </w:rPr>
              <w:t>Prestations complémentaires</w:t>
            </w:r>
          </w:p>
        </w:tc>
        <w:tc>
          <w:tcPr>
            <w:tcW w:w="1667" w:type="pct"/>
          </w:tcPr>
          <w:p w14:paraId="58C45283" w14:textId="77777777" w:rsidR="001E0DF4" w:rsidRPr="00A5344E" w:rsidRDefault="001E0DF4" w:rsidP="001441EF">
            <w:pPr>
              <w:pStyle w:val="Tabellentext"/>
              <w:rPr>
                <w:rFonts w:asciiTheme="majorHAnsi" w:hAnsiTheme="majorHAnsi" w:cstheme="majorHAnsi"/>
              </w:rPr>
            </w:pPr>
            <w:r>
              <w:rPr>
                <w:rFonts w:asciiTheme="majorHAnsi" w:hAnsiTheme="majorHAnsi"/>
              </w:rPr>
              <w:t>Art. 18 LPFC (charges géo-topographiques)</w:t>
            </w:r>
          </w:p>
          <w:p w14:paraId="7E9E621F" w14:textId="77777777" w:rsidR="001E0DF4" w:rsidRPr="00A5344E" w:rsidRDefault="001E0DF4" w:rsidP="001441EF">
            <w:pPr>
              <w:pStyle w:val="Tabellentext"/>
              <w:rPr>
                <w:rFonts w:asciiTheme="majorHAnsi" w:hAnsiTheme="majorHAnsi" w:cstheme="majorHAnsi"/>
              </w:rPr>
            </w:pPr>
            <w:r>
              <w:rPr>
                <w:rFonts w:asciiTheme="majorHAnsi" w:hAnsiTheme="majorHAnsi"/>
              </w:rPr>
              <w:t>Art. 21 LPFC (CHF 30 à 50 mio)</w:t>
            </w:r>
          </w:p>
          <w:p w14:paraId="1D274D1A" w14:textId="77777777" w:rsidR="001E0DF4" w:rsidRPr="00A5344E" w:rsidRDefault="001E0DF4" w:rsidP="001441EF">
            <w:pPr>
              <w:pStyle w:val="Tabellentext"/>
              <w:rPr>
                <w:rFonts w:asciiTheme="majorHAnsi" w:hAnsiTheme="majorHAnsi" w:cstheme="majorHAnsi"/>
              </w:rPr>
            </w:pPr>
            <w:r>
              <w:rPr>
                <w:rFonts w:asciiTheme="majorHAnsi" w:hAnsiTheme="majorHAnsi"/>
              </w:rPr>
              <w:t>Art. 12 et 13 OPFC (calcul)</w:t>
            </w:r>
          </w:p>
        </w:tc>
        <w:tc>
          <w:tcPr>
            <w:tcW w:w="2068" w:type="pct"/>
          </w:tcPr>
          <w:p w14:paraId="465B6447" w14:textId="29521C91" w:rsidR="001E0DF4" w:rsidRPr="00A5344E" w:rsidRDefault="001E0DF4" w:rsidP="001441EF">
            <w:pPr>
              <w:pStyle w:val="Tabellentext"/>
              <w:rPr>
                <w:rFonts w:asciiTheme="majorHAnsi" w:hAnsiTheme="majorHAnsi" w:cstheme="majorHAnsi"/>
                <w:bCs/>
              </w:rPr>
            </w:pPr>
            <w:r>
              <w:rPr>
                <w:rFonts w:asciiTheme="majorHAnsi" w:hAnsiTheme="majorHAnsi"/>
              </w:rPr>
              <w:t>Superficie et longueur du réseau routier</w:t>
            </w:r>
          </w:p>
        </w:tc>
      </w:tr>
      <w:tr w:rsidR="001E0DF4" w:rsidRPr="00A5344E" w14:paraId="20F71E0D" w14:textId="77777777" w:rsidTr="001441EF">
        <w:trPr>
          <w:cnfStyle w:val="000000100000" w:firstRow="0" w:lastRow="0" w:firstColumn="0" w:lastColumn="0" w:oddVBand="0" w:evenVBand="0" w:oddHBand="1" w:evenHBand="0" w:firstRowFirstColumn="0" w:firstRowLastColumn="0" w:lastRowFirstColumn="0" w:lastRowLastColumn="0"/>
        </w:trPr>
        <w:tc>
          <w:tcPr>
            <w:tcW w:w="1265" w:type="pct"/>
            <w:vMerge/>
          </w:tcPr>
          <w:p w14:paraId="43ED6D36" w14:textId="77777777" w:rsidR="001E0DF4" w:rsidRPr="00A5344E" w:rsidRDefault="001E0DF4" w:rsidP="001441EF">
            <w:pPr>
              <w:pStyle w:val="Tabellentext"/>
              <w:rPr>
                <w:rFonts w:asciiTheme="majorHAnsi" w:hAnsiTheme="majorHAnsi" w:cstheme="majorHAnsi"/>
                <w:lang w:eastAsia="de-CH"/>
              </w:rPr>
            </w:pPr>
          </w:p>
        </w:tc>
        <w:tc>
          <w:tcPr>
            <w:tcW w:w="1667" w:type="pct"/>
          </w:tcPr>
          <w:p w14:paraId="06838285" w14:textId="77777777" w:rsidR="001E0DF4" w:rsidRPr="00A5344E" w:rsidRDefault="001E0DF4" w:rsidP="001441EF">
            <w:pPr>
              <w:pStyle w:val="Tabellentext"/>
              <w:rPr>
                <w:rFonts w:asciiTheme="majorHAnsi" w:hAnsiTheme="majorHAnsi" w:cstheme="majorHAnsi"/>
              </w:rPr>
            </w:pPr>
            <w:r>
              <w:rPr>
                <w:rFonts w:asciiTheme="majorHAnsi" w:hAnsiTheme="majorHAnsi"/>
              </w:rPr>
              <w:t>Art. 21a LPFC (charges socio-démographiques)</w:t>
            </w:r>
          </w:p>
          <w:p w14:paraId="7E32C9E1" w14:textId="77777777" w:rsidR="001E0DF4" w:rsidRPr="00A5344E" w:rsidRDefault="001E0DF4" w:rsidP="001441EF">
            <w:pPr>
              <w:pStyle w:val="Tabellentext"/>
              <w:rPr>
                <w:rFonts w:asciiTheme="majorHAnsi" w:hAnsiTheme="majorHAnsi" w:cstheme="majorHAnsi"/>
              </w:rPr>
            </w:pPr>
            <w:r>
              <w:rPr>
                <w:rFonts w:asciiTheme="majorHAnsi" w:hAnsiTheme="majorHAnsi"/>
              </w:rPr>
              <w:t>Art. 15 OPFC (calcul)</w:t>
            </w:r>
          </w:p>
        </w:tc>
        <w:tc>
          <w:tcPr>
            <w:tcW w:w="2068" w:type="pct"/>
          </w:tcPr>
          <w:p w14:paraId="77C02277" w14:textId="5B3FA72A" w:rsidR="001E0DF4" w:rsidRPr="00A5344E" w:rsidRDefault="001E0DF4" w:rsidP="001441EF">
            <w:pPr>
              <w:pStyle w:val="Tabellentext"/>
              <w:rPr>
                <w:rFonts w:asciiTheme="majorHAnsi" w:hAnsiTheme="majorHAnsi" w:cstheme="majorHAnsi"/>
                <w:bCs/>
              </w:rPr>
            </w:pPr>
            <w:r>
              <w:rPr>
                <w:rFonts w:asciiTheme="majorHAnsi" w:hAnsiTheme="majorHAnsi"/>
              </w:rPr>
              <w:t>Facteurs démographiques divers</w:t>
            </w:r>
          </w:p>
        </w:tc>
      </w:tr>
      <w:tr w:rsidR="001E0DF4" w:rsidRPr="00A5344E" w14:paraId="782AFD60" w14:textId="77777777" w:rsidTr="001441EF">
        <w:trPr>
          <w:cnfStyle w:val="010000000000" w:firstRow="0" w:lastRow="1" w:firstColumn="0" w:lastColumn="0" w:oddVBand="0" w:evenVBand="0" w:oddHBand="0" w:evenHBand="0" w:firstRowFirstColumn="0" w:firstRowLastColumn="0" w:lastRowFirstColumn="0" w:lastRowLastColumn="0"/>
        </w:trPr>
        <w:tc>
          <w:tcPr>
            <w:tcW w:w="1265" w:type="pct"/>
          </w:tcPr>
          <w:p w14:paraId="4348A513" w14:textId="77777777" w:rsidR="001E0DF4" w:rsidRPr="00A5344E" w:rsidRDefault="001E0DF4" w:rsidP="001441EF">
            <w:pPr>
              <w:pStyle w:val="Tabellentext"/>
              <w:rPr>
                <w:rFonts w:asciiTheme="majorHAnsi" w:hAnsiTheme="majorHAnsi" w:cstheme="majorHAnsi"/>
              </w:rPr>
            </w:pPr>
            <w:r>
              <w:rPr>
                <w:rFonts w:asciiTheme="majorHAnsi" w:hAnsiTheme="majorHAnsi"/>
              </w:rPr>
              <w:t>Refus des prestations</w:t>
            </w:r>
          </w:p>
          <w:p w14:paraId="54F1A743" w14:textId="77777777" w:rsidR="001E0DF4" w:rsidRPr="00A5344E" w:rsidRDefault="001E0DF4" w:rsidP="001441EF">
            <w:pPr>
              <w:pStyle w:val="Tabellentext"/>
              <w:rPr>
                <w:rFonts w:asciiTheme="majorHAnsi" w:hAnsiTheme="majorHAnsi" w:cstheme="majorHAnsi"/>
              </w:rPr>
            </w:pPr>
            <w:r>
              <w:rPr>
                <w:rFonts w:asciiTheme="majorHAnsi" w:hAnsiTheme="majorHAnsi"/>
              </w:rPr>
              <w:t>(dotation minimale et prestation complémentaire géo-topographique)</w:t>
            </w:r>
          </w:p>
        </w:tc>
        <w:tc>
          <w:tcPr>
            <w:tcW w:w="1667" w:type="pct"/>
          </w:tcPr>
          <w:p w14:paraId="55AA9B9E" w14:textId="77777777" w:rsidR="001E0DF4" w:rsidRPr="00A5344E" w:rsidRDefault="001E0DF4" w:rsidP="001441EF">
            <w:pPr>
              <w:pStyle w:val="Tabellentext"/>
              <w:rPr>
                <w:rFonts w:asciiTheme="majorHAnsi" w:hAnsiTheme="majorHAnsi" w:cstheme="majorHAnsi"/>
              </w:rPr>
            </w:pPr>
            <w:r>
              <w:rPr>
                <w:rFonts w:asciiTheme="majorHAnsi" w:hAnsiTheme="majorHAnsi"/>
              </w:rPr>
              <w:t>Art. 35 LPFC (refus d’octroyer des prestations complémentaires)</w:t>
            </w:r>
          </w:p>
          <w:p w14:paraId="0D20D3EB" w14:textId="77777777" w:rsidR="001E0DF4" w:rsidRPr="00A5344E" w:rsidRDefault="001E0DF4" w:rsidP="001441EF">
            <w:pPr>
              <w:pStyle w:val="Tabellentext"/>
              <w:rPr>
                <w:rFonts w:asciiTheme="majorHAnsi" w:hAnsiTheme="majorHAnsi" w:cstheme="majorHAnsi"/>
              </w:rPr>
            </w:pPr>
            <w:r>
              <w:rPr>
                <w:rFonts w:asciiTheme="majorHAnsi" w:hAnsiTheme="majorHAnsi"/>
              </w:rPr>
              <w:t>Art. 19 OPFC dotation minimale</w:t>
            </w:r>
          </w:p>
          <w:p w14:paraId="3F6E97D7" w14:textId="77777777" w:rsidR="001E0DF4" w:rsidRPr="00A5344E" w:rsidRDefault="001E0DF4" w:rsidP="001441EF">
            <w:pPr>
              <w:pStyle w:val="Tabellentext"/>
              <w:rPr>
                <w:rFonts w:asciiTheme="majorHAnsi" w:hAnsiTheme="majorHAnsi" w:cstheme="majorHAnsi"/>
              </w:rPr>
            </w:pPr>
            <w:r>
              <w:rPr>
                <w:rFonts w:asciiTheme="majorHAnsi" w:hAnsiTheme="majorHAnsi"/>
              </w:rPr>
              <w:t>Art. 20 OPFC prestation complémentaire géo-topographique</w:t>
            </w:r>
          </w:p>
        </w:tc>
        <w:tc>
          <w:tcPr>
            <w:tcW w:w="2068" w:type="pct"/>
          </w:tcPr>
          <w:p w14:paraId="10C3F929" w14:textId="77777777" w:rsidR="001E0DF4" w:rsidRPr="00A5344E" w:rsidRDefault="001E0DF4" w:rsidP="001441EF">
            <w:pPr>
              <w:pStyle w:val="Tabellentext"/>
              <w:rPr>
                <w:rFonts w:asciiTheme="majorHAnsi" w:hAnsiTheme="majorHAnsi" w:cstheme="majorHAnsi"/>
                <w:bCs/>
              </w:rPr>
            </w:pPr>
            <w:r>
              <w:rPr>
                <w:rFonts w:asciiTheme="majorHAnsi" w:hAnsiTheme="majorHAnsi"/>
              </w:rPr>
              <w:t>Situation financière de la commune</w:t>
            </w:r>
          </w:p>
          <w:p w14:paraId="493A5C81" w14:textId="77777777" w:rsidR="001E0DF4" w:rsidRPr="00A5344E" w:rsidRDefault="001E0DF4" w:rsidP="001441EF">
            <w:pPr>
              <w:pStyle w:val="Tabellentext"/>
              <w:rPr>
                <w:rFonts w:asciiTheme="majorHAnsi" w:hAnsiTheme="majorHAnsi" w:cstheme="majorHAnsi"/>
                <w:bCs/>
              </w:rPr>
            </w:pPr>
            <w:r>
              <w:rPr>
                <w:rFonts w:asciiTheme="majorHAnsi" w:hAnsiTheme="majorHAnsi"/>
              </w:rPr>
              <w:t>Moyenne des indicateurs (dotation minimale)</w:t>
            </w:r>
          </w:p>
          <w:p w14:paraId="5EFBAD0F" w14:textId="77777777" w:rsidR="001E0DF4" w:rsidRPr="00A5344E" w:rsidRDefault="001E0DF4" w:rsidP="001441EF">
            <w:pPr>
              <w:pStyle w:val="Tabellentext"/>
              <w:rPr>
                <w:rFonts w:asciiTheme="majorHAnsi" w:hAnsiTheme="majorHAnsi" w:cstheme="majorHAnsi"/>
                <w:bCs/>
              </w:rPr>
            </w:pPr>
            <w:r>
              <w:rPr>
                <w:rFonts w:asciiTheme="majorHAnsi" w:hAnsiTheme="majorHAnsi"/>
              </w:rPr>
              <w:t>IRH d’au moins 120, fourchette de 140 à 160 (prestation complémentaire géo-topographique)</w:t>
            </w:r>
          </w:p>
        </w:tc>
      </w:tr>
    </w:tbl>
    <w:p w14:paraId="7E6D371F" w14:textId="77777777" w:rsidR="001E0DF4" w:rsidRPr="00A5344E" w:rsidRDefault="001E0DF4" w:rsidP="001E0DF4">
      <w:pPr>
        <w:rPr>
          <w:rFonts w:asciiTheme="majorHAnsi" w:hAnsiTheme="majorHAnsi" w:cstheme="majorHAnsi"/>
        </w:rPr>
      </w:pPr>
    </w:p>
    <w:sectPr w:rsidR="001E0DF4" w:rsidRPr="00A5344E" w:rsidSect="00F362F0">
      <w:headerReference w:type="default" r:id="rId16"/>
      <w:footerReference w:type="default" r:id="rId17"/>
      <w:headerReference w:type="first" r:id="rId18"/>
      <w:pgSz w:w="11906" w:h="16838"/>
      <w:pgMar w:top="1705" w:right="70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66A2" w14:textId="77777777" w:rsidR="00814704" w:rsidRDefault="00814704" w:rsidP="00F91D37">
      <w:pPr>
        <w:spacing w:line="240" w:lineRule="auto"/>
      </w:pPr>
      <w:r>
        <w:separator/>
      </w:r>
    </w:p>
  </w:endnote>
  <w:endnote w:type="continuationSeparator" w:id="0">
    <w:p w14:paraId="18E3ECC1" w14:textId="77777777" w:rsidR="00814704" w:rsidRDefault="0081470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7201" w14:textId="5361BA3D" w:rsidR="00797FDE" w:rsidRPr="00BD4A9C" w:rsidRDefault="0038719B" w:rsidP="00632704">
    <w:pPr>
      <w:pStyle w:val="Fuzeile"/>
    </w:pPr>
    <w:r>
      <w:fldChar w:fldCharType="begin"/>
    </w:r>
    <w:r>
      <w:instrText xml:space="preserve"> REF  Klassifizierung </w:instrText>
    </w:r>
    <w:r>
      <w:fldChar w:fldCharType="separate"/>
    </w:r>
    <w:sdt>
      <w:sdtPr>
        <w:rPr>
          <w:rFonts w:ascii="Arial" w:eastAsia="Arial" w:hAnsi="Arial"/>
          <w:sz w:val="17"/>
        </w:rPr>
        <w:id w:val="-382641947"/>
        <w:placeholder>
          <w:docPart w:val="45108E1F063146478E6A6A52592A46A0"/>
        </w:placeholder>
        <w:showingPlcHdr/>
        <w:comboBox>
          <w:listItem w:displayText="Non classifié" w:value="Non classifié"/>
          <w:listItem w:displayText="INTERNE" w:value="INTERNE"/>
          <w:listItem w:displayText="CONFIDENTIEL" w:value="CONFIDENTIEL"/>
          <w:listItem w:displayText="SECRET" w:value="SECRET"/>
        </w:comboBox>
      </w:sdtPr>
      <w:sdtEndPr/>
      <w:sdtContent>
        <w:r w:rsidRPr="004B5A6F">
          <w:rPr>
            <w:rFonts w:ascii="Arial" w:eastAsia="Arial" w:hAnsi="Arial"/>
            <w:sz w:val="17"/>
          </w:rPr>
          <w:t xml:space="preserve"> </w:t>
        </w:r>
        <w:r w:rsidR="006E565B">
          <w:rPr>
            <w:rFonts w:ascii="Arial" w:eastAsia="Arial" w:hAnsi="Arial"/>
            <w:vanish/>
            <w:color w:val="7D9AA8" w:themeColor="accent1" w:themeTint="99"/>
            <w:sz w:val="17"/>
          </w:rPr>
          <w:t>sélectionner la classification</w:t>
        </w:r>
      </w:sdtContent>
    </w:sdt>
    <w:r>
      <w:fldChar w:fldCharType="end"/>
    </w:r>
    <w:r>
      <w:rPr>
        <w:noProof/>
      </w:rPr>
      <mc:AlternateContent>
        <mc:Choice Requires="wps">
          <w:drawing>
            <wp:anchor distT="0" distB="0" distL="114300" distR="114300" simplePos="0" relativeHeight="251657216" behindDoc="0" locked="1" layoutInCell="1" allowOverlap="1" wp14:anchorId="40043EB0" wp14:editId="7DE5AF9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35043" w14:textId="77777777" w:rsidR="00797FDE" w:rsidRPr="005C6148" w:rsidRDefault="0038719B" w:rsidP="0007095A">
                          <w:pPr>
                            <w:pStyle w:val="Seitenzahlen"/>
                          </w:pPr>
                          <w:r w:rsidRPr="005C6148">
                            <w:fldChar w:fldCharType="begin"/>
                          </w:r>
                          <w:r w:rsidRPr="005C6148">
                            <w:instrText>PAGE   \* MERGEFORMAT</w:instrText>
                          </w:r>
                          <w:r w:rsidRPr="005C6148">
                            <w:fldChar w:fldCharType="separate"/>
                          </w:r>
                          <w:r w:rsidR="000A6BDA" w:rsidRPr="000A6BDA">
                            <w:t>3</w:t>
                          </w:r>
                          <w:r w:rsidRPr="005C6148">
                            <w:fldChar w:fldCharType="end"/>
                          </w:r>
                          <w:r>
                            <w:t>/</w:t>
                          </w:r>
                          <w:fldSimple w:instr=" NUMPAGES   \* MERGEFORMAT ">
                            <w:r w:rsidR="000A6BDA">
                              <w:t>3</w:t>
                            </w:r>
                          </w:fldSimple>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0043EB0" id="_x0000_t202" coordsize="21600,21600" o:spt="202" path="m,l,21600r21600,l21600,xe">
              <v:stroke joinstyle="miter"/>
              <v:path gradientshapeok="t" o:connecttype="rect"/>
            </v:shapetype>
            <v:shape id="Textfeld 15" o:spid="_x0000_s1027" type="#_x0000_t202" style="position:absolute;margin-left:-1.6pt;margin-top:0;width:49.6pt;height:44.8pt;z-index:25165721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KZg&#10;EF5VAgAAIwUAAA4AAAAAAAAAAAAAAAAALgIAAGRycy9lMm9Eb2MueG1sUEsBAi0AFAAGAAgAAAAh&#10;AMfBU9HUAAAAAwEAAA8AAAAAAAAAAAAAAAAArwQAAGRycy9kb3ducmV2LnhtbFBLBQYAAAAABAAE&#10;APMAAACwBQAAAAA=&#10;" filled="f" stroked="f" strokeweight=".5pt">
              <v:textbox inset="0,0,0,8mm">
                <w:txbxContent>
                  <w:p w14:paraId="10835043" w14:textId="77777777" w:rsidR="00797FDE" w:rsidRPr="005C6148" w:rsidRDefault="0038719B" w:rsidP="0007095A">
                    <w:pPr>
                      <w:pStyle w:val="Seitenzahlen"/>
                    </w:pPr>
                    <w:r w:rsidRPr="005C6148">
                      <w:fldChar w:fldCharType="begin"/>
                    </w:r>
                    <w:r w:rsidRPr="005C6148">
                      <w:instrText>PAGE   \* MERGEFORMAT</w:instrText>
                    </w:r>
                    <w:r w:rsidRPr="005C6148">
                      <w:fldChar w:fldCharType="separate"/>
                    </w:r>
                    <w:r w:rsidR="000A6BDA" w:rsidRPr="000A6BDA">
                      <w:t>3</w:t>
                    </w:r>
                    <w:r w:rsidRPr="005C6148">
                      <w:fldChar w:fldCharType="end"/>
                    </w:r>
                    <w:r>
                      <w:t>/</w:t>
                    </w:r>
                    <w:fldSimple w:instr=" NUMPAGES   \* MERGEFORMAT ">
                      <w:r w:rsidR="000A6BDA">
                        <w:t>3</w:t>
                      </w:r>
                    </w:fldSimple>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B966" w14:textId="77777777" w:rsidR="00814704" w:rsidRDefault="00814704" w:rsidP="00F91D37">
      <w:pPr>
        <w:spacing w:line="240" w:lineRule="auto"/>
      </w:pPr>
    </w:p>
    <w:p w14:paraId="32A12BD6" w14:textId="77777777" w:rsidR="00814704" w:rsidRDefault="00814704" w:rsidP="00F91D37">
      <w:pPr>
        <w:spacing w:line="240" w:lineRule="auto"/>
      </w:pPr>
    </w:p>
  </w:footnote>
  <w:footnote w:type="continuationSeparator" w:id="0">
    <w:p w14:paraId="778668F6" w14:textId="77777777" w:rsidR="00814704" w:rsidRDefault="00814704" w:rsidP="00F91D37">
      <w:pPr>
        <w:spacing w:line="240" w:lineRule="auto"/>
      </w:pPr>
      <w:r>
        <w:continuationSeparator/>
      </w:r>
    </w:p>
  </w:footnote>
  <w:footnote w:id="1">
    <w:p w14:paraId="32B76910" w14:textId="77777777" w:rsidR="00836EDF" w:rsidRDefault="00836EDF" w:rsidP="00836EDF">
      <w:pPr>
        <w:pStyle w:val="Funotentext"/>
      </w:pPr>
      <w:r>
        <w:rPr>
          <w:rStyle w:val="Funotenzeichen"/>
        </w:rPr>
        <w:footnoteRef/>
      </w:r>
      <w:r>
        <w:t xml:space="preserve"> Rapport LPFC 2024, pages 70 et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029"/>
      <w:gridCol w:w="4809"/>
    </w:tblGrid>
    <w:tr w:rsidR="00FF3B4D" w14:paraId="2BCEAAF7" w14:textId="77777777" w:rsidTr="00840B34">
      <w:tc>
        <w:tcPr>
          <w:tcW w:w="5100" w:type="dxa"/>
        </w:tcPr>
        <w:p w14:paraId="2431FA3D" w14:textId="5008ECD6" w:rsidR="00FD161A" w:rsidRDefault="00984F56" w:rsidP="00840B34">
          <w:pPr>
            <w:pStyle w:val="Kopfzeile"/>
          </w:pPr>
          <w:r>
            <w:t>Rapport 2024</w:t>
          </w:r>
        </w:p>
        <w:p w14:paraId="2C59A990" w14:textId="7E8BC6D6" w:rsidR="00FD161A" w:rsidRDefault="0038719B" w:rsidP="00840B34">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separate"/>
          </w:r>
          <w:r w:rsidR="009D02A2" w:rsidRPr="009D02A2">
            <w:rPr>
              <w:b/>
              <w:color w:val="B1B9BD" w:themeColor="background2"/>
            </w:rPr>
            <w:t>Analyse</w:t>
          </w:r>
          <w:r w:rsidR="009D02A2">
            <w:rPr>
              <w:color w:val="B1B9BD" w:themeColor="background2"/>
            </w:rPr>
            <w:t xml:space="preserve"> permanente de l’impact de la loi sur la péréquation financière et la compensation des charges (LPFC)</w:t>
          </w:r>
          <w:r w:rsidRPr="00657051">
            <w:rPr>
              <w:color w:val="B1B9BD" w:themeColor="background2"/>
            </w:rPr>
            <w:fldChar w:fldCharType="end"/>
          </w:r>
        </w:p>
      </w:tc>
      <w:tc>
        <w:tcPr>
          <w:tcW w:w="4878" w:type="dxa"/>
        </w:tcPr>
        <w:p w14:paraId="06CAC405" w14:textId="72FCCD7B" w:rsidR="00FD161A" w:rsidRDefault="0083428B" w:rsidP="00840B34">
          <w:pPr>
            <w:pStyle w:val="Kopfzeile"/>
          </w:pPr>
          <w:fldSimple w:instr=" STYLEREF  &quot;H1&quot;  \* MERGEFORMAT ">
            <w:r w:rsidR="009D02A2">
              <w:t>Analyse permanente - résultats de 2024</w:t>
            </w:r>
          </w:fldSimple>
        </w:p>
      </w:tc>
    </w:tr>
  </w:tbl>
  <w:p w14:paraId="32819395" w14:textId="77777777" w:rsidR="00797FDE" w:rsidRPr="0039616D" w:rsidRDefault="00797FDE"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B7DB" w14:textId="77777777" w:rsidR="00797FDE" w:rsidRDefault="0038719B" w:rsidP="000822A6">
    <w:pPr>
      <w:pStyle w:val="Kopfzeile"/>
      <w:jc w:val="right"/>
    </w:pPr>
    <w:r>
      <w:drawing>
        <wp:anchor distT="0" distB="0" distL="114300" distR="114300" simplePos="0" relativeHeight="251658240" behindDoc="0" locked="1" layoutInCell="1" allowOverlap="1" wp14:anchorId="6F8E22E6" wp14:editId="3ADDB2E3">
          <wp:simplePos x="0" y="0"/>
          <wp:positionH relativeFrom="page">
            <wp:posOffset>313055</wp:posOffset>
          </wp:positionH>
          <wp:positionV relativeFrom="page">
            <wp:posOffset>183515</wp:posOffset>
          </wp:positionV>
          <wp:extent cx="1483200" cy="694800"/>
          <wp:effectExtent l="0" t="0" r="3175" b="0"/>
          <wp:wrapNone/>
          <wp:docPr id="195413315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E4428"/>
    <w:multiLevelType w:val="hybridMultilevel"/>
    <w:tmpl w:val="E02C932A"/>
    <w:lvl w:ilvl="0" w:tplc="0807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5E07801"/>
    <w:multiLevelType w:val="hybridMultilevel"/>
    <w:tmpl w:val="0268C6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3621B3"/>
    <w:multiLevelType w:val="hybridMultilevel"/>
    <w:tmpl w:val="B0449C2E"/>
    <w:lvl w:ilvl="0" w:tplc="FE7C66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DC264F1"/>
    <w:multiLevelType w:val="hybridMultilevel"/>
    <w:tmpl w:val="4F8AD58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EC81D59"/>
    <w:multiLevelType w:val="hybridMultilevel"/>
    <w:tmpl w:val="329036E2"/>
    <w:lvl w:ilvl="0" w:tplc="FE7C6612">
      <w:numFmt w:val="bullet"/>
      <w:lvlText w:val="•"/>
      <w:lvlJc w:val="left"/>
      <w:pPr>
        <w:ind w:left="1425" w:hanging="705"/>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B1F75C9"/>
    <w:multiLevelType w:val="hybridMultilevel"/>
    <w:tmpl w:val="BDDA03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988804AC">
      <w:start w:val="1"/>
      <w:numFmt w:val="decimal"/>
      <w:lvlText w:val="%1."/>
      <w:lvlJc w:val="left"/>
      <w:pPr>
        <w:ind w:left="720" w:hanging="360"/>
      </w:pPr>
    </w:lvl>
    <w:lvl w:ilvl="1" w:tplc="BA94599C" w:tentative="1">
      <w:start w:val="1"/>
      <w:numFmt w:val="lowerLetter"/>
      <w:lvlText w:val="%2."/>
      <w:lvlJc w:val="left"/>
      <w:pPr>
        <w:ind w:left="1440" w:hanging="360"/>
      </w:pPr>
    </w:lvl>
    <w:lvl w:ilvl="2" w:tplc="2C66C550" w:tentative="1">
      <w:start w:val="1"/>
      <w:numFmt w:val="lowerRoman"/>
      <w:lvlText w:val="%3."/>
      <w:lvlJc w:val="right"/>
      <w:pPr>
        <w:ind w:left="2160" w:hanging="180"/>
      </w:pPr>
    </w:lvl>
    <w:lvl w:ilvl="3" w:tplc="24EE2776" w:tentative="1">
      <w:start w:val="1"/>
      <w:numFmt w:val="decimal"/>
      <w:lvlText w:val="%4."/>
      <w:lvlJc w:val="left"/>
      <w:pPr>
        <w:ind w:left="2880" w:hanging="360"/>
      </w:pPr>
    </w:lvl>
    <w:lvl w:ilvl="4" w:tplc="4C908DF0" w:tentative="1">
      <w:start w:val="1"/>
      <w:numFmt w:val="lowerLetter"/>
      <w:lvlText w:val="%5."/>
      <w:lvlJc w:val="left"/>
      <w:pPr>
        <w:ind w:left="3600" w:hanging="360"/>
      </w:pPr>
    </w:lvl>
    <w:lvl w:ilvl="5" w:tplc="BED0E902" w:tentative="1">
      <w:start w:val="1"/>
      <w:numFmt w:val="lowerRoman"/>
      <w:lvlText w:val="%6."/>
      <w:lvlJc w:val="right"/>
      <w:pPr>
        <w:ind w:left="4320" w:hanging="180"/>
      </w:pPr>
    </w:lvl>
    <w:lvl w:ilvl="6" w:tplc="9714691A" w:tentative="1">
      <w:start w:val="1"/>
      <w:numFmt w:val="decimal"/>
      <w:lvlText w:val="%7."/>
      <w:lvlJc w:val="left"/>
      <w:pPr>
        <w:ind w:left="5040" w:hanging="360"/>
      </w:pPr>
    </w:lvl>
    <w:lvl w:ilvl="7" w:tplc="9C1EA9BA" w:tentative="1">
      <w:start w:val="1"/>
      <w:numFmt w:val="lowerLetter"/>
      <w:lvlText w:val="%8."/>
      <w:lvlJc w:val="left"/>
      <w:pPr>
        <w:ind w:left="5760" w:hanging="360"/>
      </w:pPr>
    </w:lvl>
    <w:lvl w:ilvl="8" w:tplc="EAB8552C"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02E0B676">
      <w:start w:val="1"/>
      <w:numFmt w:val="bullet"/>
      <w:lvlText w:val=""/>
      <w:lvlJc w:val="left"/>
      <w:pPr>
        <w:ind w:left="720" w:hanging="360"/>
      </w:pPr>
      <w:rPr>
        <w:rFonts w:ascii="Symbol" w:hAnsi="Symbol" w:hint="default"/>
      </w:rPr>
    </w:lvl>
    <w:lvl w:ilvl="1" w:tplc="63704B84">
      <w:start w:val="1"/>
      <w:numFmt w:val="bullet"/>
      <w:lvlText w:val="o"/>
      <w:lvlJc w:val="left"/>
      <w:pPr>
        <w:ind w:left="1440" w:hanging="360"/>
      </w:pPr>
      <w:rPr>
        <w:rFonts w:ascii="Courier New" w:hAnsi="Courier New" w:cs="Courier New" w:hint="default"/>
      </w:rPr>
    </w:lvl>
    <w:lvl w:ilvl="2" w:tplc="6E1237E8" w:tentative="1">
      <w:start w:val="1"/>
      <w:numFmt w:val="bullet"/>
      <w:lvlText w:val=""/>
      <w:lvlJc w:val="left"/>
      <w:pPr>
        <w:ind w:left="2160" w:hanging="360"/>
      </w:pPr>
      <w:rPr>
        <w:rFonts w:ascii="Wingdings" w:hAnsi="Wingdings" w:hint="default"/>
      </w:rPr>
    </w:lvl>
    <w:lvl w:ilvl="3" w:tplc="0F186CEE" w:tentative="1">
      <w:start w:val="1"/>
      <w:numFmt w:val="bullet"/>
      <w:lvlText w:val=""/>
      <w:lvlJc w:val="left"/>
      <w:pPr>
        <w:ind w:left="2880" w:hanging="360"/>
      </w:pPr>
      <w:rPr>
        <w:rFonts w:ascii="Symbol" w:hAnsi="Symbol" w:hint="default"/>
      </w:rPr>
    </w:lvl>
    <w:lvl w:ilvl="4" w:tplc="5770D308" w:tentative="1">
      <w:start w:val="1"/>
      <w:numFmt w:val="bullet"/>
      <w:lvlText w:val="o"/>
      <w:lvlJc w:val="left"/>
      <w:pPr>
        <w:ind w:left="3600" w:hanging="360"/>
      </w:pPr>
      <w:rPr>
        <w:rFonts w:ascii="Courier New" w:hAnsi="Courier New" w:cs="Courier New" w:hint="default"/>
      </w:rPr>
    </w:lvl>
    <w:lvl w:ilvl="5" w:tplc="7786DF44" w:tentative="1">
      <w:start w:val="1"/>
      <w:numFmt w:val="bullet"/>
      <w:lvlText w:val=""/>
      <w:lvlJc w:val="left"/>
      <w:pPr>
        <w:ind w:left="4320" w:hanging="360"/>
      </w:pPr>
      <w:rPr>
        <w:rFonts w:ascii="Wingdings" w:hAnsi="Wingdings" w:hint="default"/>
      </w:rPr>
    </w:lvl>
    <w:lvl w:ilvl="6" w:tplc="B958FCBC" w:tentative="1">
      <w:start w:val="1"/>
      <w:numFmt w:val="bullet"/>
      <w:lvlText w:val=""/>
      <w:lvlJc w:val="left"/>
      <w:pPr>
        <w:ind w:left="5040" w:hanging="360"/>
      </w:pPr>
      <w:rPr>
        <w:rFonts w:ascii="Symbol" w:hAnsi="Symbol" w:hint="default"/>
      </w:rPr>
    </w:lvl>
    <w:lvl w:ilvl="7" w:tplc="6F847A8A" w:tentative="1">
      <w:start w:val="1"/>
      <w:numFmt w:val="bullet"/>
      <w:lvlText w:val="o"/>
      <w:lvlJc w:val="left"/>
      <w:pPr>
        <w:ind w:left="5760" w:hanging="360"/>
      </w:pPr>
      <w:rPr>
        <w:rFonts w:ascii="Courier New" w:hAnsi="Courier New" w:cs="Courier New" w:hint="default"/>
      </w:rPr>
    </w:lvl>
    <w:lvl w:ilvl="8" w:tplc="9878D2A0"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2" w15:restartNumberingAfterBreak="0">
    <w:nsid w:val="53F93D0B"/>
    <w:multiLevelType w:val="hybridMultilevel"/>
    <w:tmpl w:val="BDDA039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D988BFB4">
      <w:start w:val="1"/>
      <w:numFmt w:val="bullet"/>
      <w:lvlText w:val=""/>
      <w:lvlJc w:val="left"/>
      <w:pPr>
        <w:ind w:left="720" w:hanging="360"/>
      </w:pPr>
      <w:rPr>
        <w:rFonts w:ascii="Symbol" w:hAnsi="Symbol" w:hint="default"/>
      </w:rPr>
    </w:lvl>
    <w:lvl w:ilvl="1" w:tplc="FD80C6F2" w:tentative="1">
      <w:start w:val="1"/>
      <w:numFmt w:val="bullet"/>
      <w:lvlText w:val="o"/>
      <w:lvlJc w:val="left"/>
      <w:pPr>
        <w:ind w:left="1440" w:hanging="360"/>
      </w:pPr>
      <w:rPr>
        <w:rFonts w:ascii="Courier New" w:hAnsi="Courier New" w:cs="Courier New" w:hint="default"/>
      </w:rPr>
    </w:lvl>
    <w:lvl w:ilvl="2" w:tplc="AEFEEE18" w:tentative="1">
      <w:start w:val="1"/>
      <w:numFmt w:val="bullet"/>
      <w:lvlText w:val=""/>
      <w:lvlJc w:val="left"/>
      <w:pPr>
        <w:ind w:left="2160" w:hanging="360"/>
      </w:pPr>
      <w:rPr>
        <w:rFonts w:ascii="Wingdings" w:hAnsi="Wingdings" w:hint="default"/>
      </w:rPr>
    </w:lvl>
    <w:lvl w:ilvl="3" w:tplc="D598A2D8" w:tentative="1">
      <w:start w:val="1"/>
      <w:numFmt w:val="bullet"/>
      <w:lvlText w:val=""/>
      <w:lvlJc w:val="left"/>
      <w:pPr>
        <w:ind w:left="2880" w:hanging="360"/>
      </w:pPr>
      <w:rPr>
        <w:rFonts w:ascii="Symbol" w:hAnsi="Symbol" w:hint="default"/>
      </w:rPr>
    </w:lvl>
    <w:lvl w:ilvl="4" w:tplc="B3CC23AA" w:tentative="1">
      <w:start w:val="1"/>
      <w:numFmt w:val="bullet"/>
      <w:lvlText w:val="o"/>
      <w:lvlJc w:val="left"/>
      <w:pPr>
        <w:ind w:left="3600" w:hanging="360"/>
      </w:pPr>
      <w:rPr>
        <w:rFonts w:ascii="Courier New" w:hAnsi="Courier New" w:cs="Courier New" w:hint="default"/>
      </w:rPr>
    </w:lvl>
    <w:lvl w:ilvl="5" w:tplc="AD529D6C" w:tentative="1">
      <w:start w:val="1"/>
      <w:numFmt w:val="bullet"/>
      <w:lvlText w:val=""/>
      <w:lvlJc w:val="left"/>
      <w:pPr>
        <w:ind w:left="4320" w:hanging="360"/>
      </w:pPr>
      <w:rPr>
        <w:rFonts w:ascii="Wingdings" w:hAnsi="Wingdings" w:hint="default"/>
      </w:rPr>
    </w:lvl>
    <w:lvl w:ilvl="6" w:tplc="D38C4D58" w:tentative="1">
      <w:start w:val="1"/>
      <w:numFmt w:val="bullet"/>
      <w:lvlText w:val=""/>
      <w:lvlJc w:val="left"/>
      <w:pPr>
        <w:ind w:left="5040" w:hanging="360"/>
      </w:pPr>
      <w:rPr>
        <w:rFonts w:ascii="Symbol" w:hAnsi="Symbol" w:hint="default"/>
      </w:rPr>
    </w:lvl>
    <w:lvl w:ilvl="7" w:tplc="81D09518" w:tentative="1">
      <w:start w:val="1"/>
      <w:numFmt w:val="bullet"/>
      <w:lvlText w:val="o"/>
      <w:lvlJc w:val="left"/>
      <w:pPr>
        <w:ind w:left="5760" w:hanging="360"/>
      </w:pPr>
      <w:rPr>
        <w:rFonts w:ascii="Courier New" w:hAnsi="Courier New" w:cs="Courier New" w:hint="default"/>
      </w:rPr>
    </w:lvl>
    <w:lvl w:ilvl="8" w:tplc="2304CB98"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63565A56">
      <w:start w:val="1"/>
      <w:numFmt w:val="bullet"/>
      <w:lvlText w:val=""/>
      <w:lvlJc w:val="left"/>
      <w:pPr>
        <w:ind w:left="720" w:hanging="360"/>
      </w:pPr>
      <w:rPr>
        <w:rFonts w:ascii="Symbol" w:hAnsi="Symbol" w:hint="default"/>
      </w:rPr>
    </w:lvl>
    <w:lvl w:ilvl="1" w:tplc="2E027B50" w:tentative="1">
      <w:start w:val="1"/>
      <w:numFmt w:val="bullet"/>
      <w:lvlText w:val="o"/>
      <w:lvlJc w:val="left"/>
      <w:pPr>
        <w:ind w:left="1440" w:hanging="360"/>
      </w:pPr>
      <w:rPr>
        <w:rFonts w:ascii="Courier New" w:hAnsi="Courier New" w:cs="Courier New" w:hint="default"/>
      </w:rPr>
    </w:lvl>
    <w:lvl w:ilvl="2" w:tplc="3098A71C" w:tentative="1">
      <w:start w:val="1"/>
      <w:numFmt w:val="bullet"/>
      <w:lvlText w:val=""/>
      <w:lvlJc w:val="left"/>
      <w:pPr>
        <w:ind w:left="2160" w:hanging="360"/>
      </w:pPr>
      <w:rPr>
        <w:rFonts w:ascii="Wingdings" w:hAnsi="Wingdings" w:hint="default"/>
      </w:rPr>
    </w:lvl>
    <w:lvl w:ilvl="3" w:tplc="76AE78F4" w:tentative="1">
      <w:start w:val="1"/>
      <w:numFmt w:val="bullet"/>
      <w:lvlText w:val=""/>
      <w:lvlJc w:val="left"/>
      <w:pPr>
        <w:ind w:left="2880" w:hanging="360"/>
      </w:pPr>
      <w:rPr>
        <w:rFonts w:ascii="Symbol" w:hAnsi="Symbol" w:hint="default"/>
      </w:rPr>
    </w:lvl>
    <w:lvl w:ilvl="4" w:tplc="BBB49138" w:tentative="1">
      <w:start w:val="1"/>
      <w:numFmt w:val="bullet"/>
      <w:lvlText w:val="o"/>
      <w:lvlJc w:val="left"/>
      <w:pPr>
        <w:ind w:left="3600" w:hanging="360"/>
      </w:pPr>
      <w:rPr>
        <w:rFonts w:ascii="Courier New" w:hAnsi="Courier New" w:cs="Courier New" w:hint="default"/>
      </w:rPr>
    </w:lvl>
    <w:lvl w:ilvl="5" w:tplc="A0B82196" w:tentative="1">
      <w:start w:val="1"/>
      <w:numFmt w:val="bullet"/>
      <w:lvlText w:val=""/>
      <w:lvlJc w:val="left"/>
      <w:pPr>
        <w:ind w:left="4320" w:hanging="360"/>
      </w:pPr>
      <w:rPr>
        <w:rFonts w:ascii="Wingdings" w:hAnsi="Wingdings" w:hint="default"/>
      </w:rPr>
    </w:lvl>
    <w:lvl w:ilvl="6" w:tplc="F1E0D9A0" w:tentative="1">
      <w:start w:val="1"/>
      <w:numFmt w:val="bullet"/>
      <w:lvlText w:val=""/>
      <w:lvlJc w:val="left"/>
      <w:pPr>
        <w:ind w:left="5040" w:hanging="360"/>
      </w:pPr>
      <w:rPr>
        <w:rFonts w:ascii="Symbol" w:hAnsi="Symbol" w:hint="default"/>
      </w:rPr>
    </w:lvl>
    <w:lvl w:ilvl="7" w:tplc="85385C3E" w:tentative="1">
      <w:start w:val="1"/>
      <w:numFmt w:val="bullet"/>
      <w:lvlText w:val="o"/>
      <w:lvlJc w:val="left"/>
      <w:pPr>
        <w:ind w:left="5760" w:hanging="360"/>
      </w:pPr>
      <w:rPr>
        <w:rFonts w:ascii="Courier New" w:hAnsi="Courier New" w:cs="Courier New" w:hint="default"/>
      </w:rPr>
    </w:lvl>
    <w:lvl w:ilvl="8" w:tplc="409607E4" w:tentative="1">
      <w:start w:val="1"/>
      <w:numFmt w:val="bullet"/>
      <w:lvlText w:val=""/>
      <w:lvlJc w:val="left"/>
      <w:pPr>
        <w:ind w:left="6480" w:hanging="360"/>
      </w:pPr>
      <w:rPr>
        <w:rFonts w:ascii="Wingdings" w:hAnsi="Wingdings" w:hint="default"/>
      </w:rPr>
    </w:lvl>
  </w:abstractNum>
  <w:abstractNum w:abstractNumId="29" w15:restartNumberingAfterBreak="0">
    <w:nsid w:val="6E22699B"/>
    <w:multiLevelType w:val="hybridMultilevel"/>
    <w:tmpl w:val="3202ECCA"/>
    <w:lvl w:ilvl="0" w:tplc="FE7C66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71827FF"/>
    <w:multiLevelType w:val="hybridMultilevel"/>
    <w:tmpl w:val="244CEC52"/>
    <w:lvl w:ilvl="0" w:tplc="FE7C66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DC30691"/>
    <w:multiLevelType w:val="hybridMultilevel"/>
    <w:tmpl w:val="4E3262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FD325A5"/>
    <w:multiLevelType w:val="hybridMultilevel"/>
    <w:tmpl w:val="5C6AB65C"/>
    <w:lvl w:ilvl="0" w:tplc="D408DD30">
      <w:start w:val="1"/>
      <w:numFmt w:val="decimal"/>
      <w:lvlText w:val="%1."/>
      <w:lvlJc w:val="left"/>
      <w:pPr>
        <w:ind w:left="720" w:hanging="360"/>
      </w:pPr>
      <w:rPr>
        <w:rFonts w:hint="default"/>
      </w:rPr>
    </w:lvl>
    <w:lvl w:ilvl="1" w:tplc="029A1364" w:tentative="1">
      <w:start w:val="1"/>
      <w:numFmt w:val="lowerLetter"/>
      <w:lvlText w:val="%2."/>
      <w:lvlJc w:val="left"/>
      <w:pPr>
        <w:ind w:left="1440" w:hanging="360"/>
      </w:pPr>
    </w:lvl>
    <w:lvl w:ilvl="2" w:tplc="69181790" w:tentative="1">
      <w:start w:val="1"/>
      <w:numFmt w:val="lowerRoman"/>
      <w:lvlText w:val="%3."/>
      <w:lvlJc w:val="right"/>
      <w:pPr>
        <w:ind w:left="2160" w:hanging="180"/>
      </w:pPr>
    </w:lvl>
    <w:lvl w:ilvl="3" w:tplc="7278E96E" w:tentative="1">
      <w:start w:val="1"/>
      <w:numFmt w:val="decimal"/>
      <w:lvlText w:val="%4."/>
      <w:lvlJc w:val="left"/>
      <w:pPr>
        <w:ind w:left="2880" w:hanging="360"/>
      </w:pPr>
    </w:lvl>
    <w:lvl w:ilvl="4" w:tplc="BB8A4736" w:tentative="1">
      <w:start w:val="1"/>
      <w:numFmt w:val="lowerLetter"/>
      <w:lvlText w:val="%5."/>
      <w:lvlJc w:val="left"/>
      <w:pPr>
        <w:ind w:left="3600" w:hanging="360"/>
      </w:pPr>
    </w:lvl>
    <w:lvl w:ilvl="5" w:tplc="47086772" w:tentative="1">
      <w:start w:val="1"/>
      <w:numFmt w:val="lowerRoman"/>
      <w:lvlText w:val="%6."/>
      <w:lvlJc w:val="right"/>
      <w:pPr>
        <w:ind w:left="4320" w:hanging="180"/>
      </w:pPr>
    </w:lvl>
    <w:lvl w:ilvl="6" w:tplc="FA0E8BD8" w:tentative="1">
      <w:start w:val="1"/>
      <w:numFmt w:val="decimal"/>
      <w:lvlText w:val="%7."/>
      <w:lvlJc w:val="left"/>
      <w:pPr>
        <w:ind w:left="5040" w:hanging="360"/>
      </w:pPr>
    </w:lvl>
    <w:lvl w:ilvl="7" w:tplc="55785356" w:tentative="1">
      <w:start w:val="1"/>
      <w:numFmt w:val="lowerLetter"/>
      <w:lvlText w:val="%8."/>
      <w:lvlJc w:val="left"/>
      <w:pPr>
        <w:ind w:left="5760" w:hanging="360"/>
      </w:pPr>
    </w:lvl>
    <w:lvl w:ilvl="8" w:tplc="847AD7AC" w:tentative="1">
      <w:start w:val="1"/>
      <w:numFmt w:val="lowerRoman"/>
      <w:lvlText w:val="%9."/>
      <w:lvlJc w:val="right"/>
      <w:pPr>
        <w:ind w:left="6480" w:hanging="180"/>
      </w:pPr>
    </w:lvl>
  </w:abstractNum>
  <w:num w:numId="1" w16cid:durableId="430665560">
    <w:abstractNumId w:val="9"/>
  </w:num>
  <w:num w:numId="2" w16cid:durableId="668170270">
    <w:abstractNumId w:val="7"/>
  </w:num>
  <w:num w:numId="3" w16cid:durableId="1454251254">
    <w:abstractNumId w:val="6"/>
  </w:num>
  <w:num w:numId="4" w16cid:durableId="1599752721">
    <w:abstractNumId w:val="5"/>
  </w:num>
  <w:num w:numId="5" w16cid:durableId="180976946">
    <w:abstractNumId w:val="4"/>
  </w:num>
  <w:num w:numId="6" w16cid:durableId="599946846">
    <w:abstractNumId w:val="8"/>
  </w:num>
  <w:num w:numId="7" w16cid:durableId="1563524134">
    <w:abstractNumId w:val="3"/>
  </w:num>
  <w:num w:numId="8" w16cid:durableId="1404257456">
    <w:abstractNumId w:val="2"/>
  </w:num>
  <w:num w:numId="9" w16cid:durableId="577515716">
    <w:abstractNumId w:val="1"/>
  </w:num>
  <w:num w:numId="10" w16cid:durableId="1592394845">
    <w:abstractNumId w:val="0"/>
  </w:num>
  <w:num w:numId="11" w16cid:durableId="1357460954">
    <w:abstractNumId w:val="28"/>
  </w:num>
  <w:num w:numId="12" w16cid:durableId="903368576">
    <w:abstractNumId w:val="23"/>
  </w:num>
  <w:num w:numId="13" w16cid:durableId="1414088194">
    <w:abstractNumId w:val="19"/>
  </w:num>
  <w:num w:numId="14" w16cid:durableId="1805153864">
    <w:abstractNumId w:val="33"/>
  </w:num>
  <w:num w:numId="15" w16cid:durableId="646664496">
    <w:abstractNumId w:val="30"/>
  </w:num>
  <w:num w:numId="16" w16cid:durableId="1620069520">
    <w:abstractNumId w:val="15"/>
  </w:num>
  <w:num w:numId="17" w16cid:durableId="201408619">
    <w:abstractNumId w:val="20"/>
  </w:num>
  <w:num w:numId="18" w16cid:durableId="10065135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4914525">
    <w:abstractNumId w:val="27"/>
  </w:num>
  <w:num w:numId="20" w16cid:durableId="1933541359">
    <w:abstractNumId w:val="18"/>
  </w:num>
  <w:num w:numId="21" w16cid:durableId="1803377945">
    <w:abstractNumId w:val="25"/>
  </w:num>
  <w:num w:numId="22" w16cid:durableId="937323525">
    <w:abstractNumId w:val="24"/>
  </w:num>
  <w:num w:numId="23" w16cid:durableId="1761759402">
    <w:abstractNumId w:val="16"/>
  </w:num>
  <w:num w:numId="24" w16cid:durableId="474686758">
    <w:abstractNumId w:val="21"/>
  </w:num>
  <w:num w:numId="25" w16cid:durableId="1484200339">
    <w:abstractNumId w:val="26"/>
  </w:num>
  <w:num w:numId="26" w16cid:durableId="1963804803">
    <w:abstractNumId w:val="32"/>
  </w:num>
  <w:num w:numId="27" w16cid:durableId="180168892">
    <w:abstractNumId w:val="29"/>
  </w:num>
  <w:num w:numId="28" w16cid:durableId="2057194267">
    <w:abstractNumId w:val="14"/>
  </w:num>
  <w:num w:numId="29" w16cid:durableId="118843625">
    <w:abstractNumId w:val="10"/>
  </w:num>
  <w:num w:numId="30" w16cid:durableId="1649897532">
    <w:abstractNumId w:val="23"/>
  </w:num>
  <w:num w:numId="31" w16cid:durableId="913394109">
    <w:abstractNumId w:val="11"/>
  </w:num>
  <w:num w:numId="32" w16cid:durableId="133760789">
    <w:abstractNumId w:val="12"/>
  </w:num>
  <w:num w:numId="33" w16cid:durableId="1609577825">
    <w:abstractNumId w:val="23"/>
  </w:num>
  <w:num w:numId="34" w16cid:durableId="1353411173">
    <w:abstractNumId w:val="31"/>
  </w:num>
  <w:num w:numId="35" w16cid:durableId="1414401279">
    <w:abstractNumId w:val="23"/>
  </w:num>
  <w:num w:numId="36" w16cid:durableId="728378531">
    <w:abstractNumId w:val="23"/>
  </w:num>
  <w:num w:numId="37" w16cid:durableId="926613903">
    <w:abstractNumId w:val="23"/>
  </w:num>
  <w:num w:numId="38" w16cid:durableId="1166282165">
    <w:abstractNumId w:val="23"/>
  </w:num>
  <w:num w:numId="39" w16cid:durableId="79841153">
    <w:abstractNumId w:val="22"/>
  </w:num>
  <w:num w:numId="40" w16cid:durableId="13926308">
    <w:abstractNumId w:val="17"/>
  </w:num>
  <w:num w:numId="41" w16cid:durableId="435488162">
    <w:abstractNumId w:val="13"/>
  </w:num>
  <w:num w:numId="42" w16cid:durableId="82653806">
    <w:abstractNumId w:val="23"/>
  </w:num>
  <w:num w:numId="43" w16cid:durableId="4127762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FINFV"/>
  </w:docVars>
  <w:rsids>
    <w:rsidRoot w:val="00A1779E"/>
    <w:rsid w:val="00000432"/>
    <w:rsid w:val="00002978"/>
    <w:rsid w:val="0001010F"/>
    <w:rsid w:val="000116E1"/>
    <w:rsid w:val="000118C1"/>
    <w:rsid w:val="00015D48"/>
    <w:rsid w:val="0002147A"/>
    <w:rsid w:val="00022547"/>
    <w:rsid w:val="000258FF"/>
    <w:rsid w:val="000266B7"/>
    <w:rsid w:val="0002739A"/>
    <w:rsid w:val="00032B92"/>
    <w:rsid w:val="00036B8D"/>
    <w:rsid w:val="000409C8"/>
    <w:rsid w:val="00041700"/>
    <w:rsid w:val="0004410F"/>
    <w:rsid w:val="00045DA0"/>
    <w:rsid w:val="00046920"/>
    <w:rsid w:val="0004775B"/>
    <w:rsid w:val="00053EE5"/>
    <w:rsid w:val="00054BDC"/>
    <w:rsid w:val="000610F6"/>
    <w:rsid w:val="00061F5D"/>
    <w:rsid w:val="00063BC2"/>
    <w:rsid w:val="000701F1"/>
    <w:rsid w:val="0007095A"/>
    <w:rsid w:val="00071780"/>
    <w:rsid w:val="000748C1"/>
    <w:rsid w:val="000822A6"/>
    <w:rsid w:val="000823C7"/>
    <w:rsid w:val="00084759"/>
    <w:rsid w:val="00095CB1"/>
    <w:rsid w:val="0009664E"/>
    <w:rsid w:val="00096E8E"/>
    <w:rsid w:val="00097476"/>
    <w:rsid w:val="000A1884"/>
    <w:rsid w:val="000A42E5"/>
    <w:rsid w:val="000A6BDA"/>
    <w:rsid w:val="000B0159"/>
    <w:rsid w:val="000B3C23"/>
    <w:rsid w:val="000B595D"/>
    <w:rsid w:val="000B5F99"/>
    <w:rsid w:val="000B64EC"/>
    <w:rsid w:val="000B6D27"/>
    <w:rsid w:val="000C49C1"/>
    <w:rsid w:val="000C5AA0"/>
    <w:rsid w:val="000D06EA"/>
    <w:rsid w:val="000D0A57"/>
    <w:rsid w:val="000D1743"/>
    <w:rsid w:val="000D7F08"/>
    <w:rsid w:val="000E0CEF"/>
    <w:rsid w:val="000E174A"/>
    <w:rsid w:val="000E40A9"/>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16E6E"/>
    <w:rsid w:val="0012151C"/>
    <w:rsid w:val="0012168B"/>
    <w:rsid w:val="00121DB3"/>
    <w:rsid w:val="0012383B"/>
    <w:rsid w:val="00124B68"/>
    <w:rsid w:val="00124F23"/>
    <w:rsid w:val="00127132"/>
    <w:rsid w:val="001273A1"/>
    <w:rsid w:val="00127A77"/>
    <w:rsid w:val="00130557"/>
    <w:rsid w:val="001307C8"/>
    <w:rsid w:val="00132158"/>
    <w:rsid w:val="00134353"/>
    <w:rsid w:val="001375AB"/>
    <w:rsid w:val="001379FA"/>
    <w:rsid w:val="00140075"/>
    <w:rsid w:val="00140272"/>
    <w:rsid w:val="001407C6"/>
    <w:rsid w:val="00140B5B"/>
    <w:rsid w:val="00144122"/>
    <w:rsid w:val="00144695"/>
    <w:rsid w:val="001471AF"/>
    <w:rsid w:val="00154677"/>
    <w:rsid w:val="0016119E"/>
    <w:rsid w:val="001617BB"/>
    <w:rsid w:val="00166023"/>
    <w:rsid w:val="00167916"/>
    <w:rsid w:val="001702F5"/>
    <w:rsid w:val="00170455"/>
    <w:rsid w:val="0017672D"/>
    <w:rsid w:val="00190A82"/>
    <w:rsid w:val="001944E1"/>
    <w:rsid w:val="00196ABC"/>
    <w:rsid w:val="00196B03"/>
    <w:rsid w:val="00196C0B"/>
    <w:rsid w:val="001A0029"/>
    <w:rsid w:val="001A3D0C"/>
    <w:rsid w:val="001A666F"/>
    <w:rsid w:val="001A7D8B"/>
    <w:rsid w:val="001B166D"/>
    <w:rsid w:val="001B1F85"/>
    <w:rsid w:val="001B4DBF"/>
    <w:rsid w:val="001B5E85"/>
    <w:rsid w:val="001C420D"/>
    <w:rsid w:val="001C4D4E"/>
    <w:rsid w:val="001E0DF4"/>
    <w:rsid w:val="001E2720"/>
    <w:rsid w:val="001E3FF4"/>
    <w:rsid w:val="001F2AA2"/>
    <w:rsid w:val="001F353B"/>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478B1"/>
    <w:rsid w:val="0025644A"/>
    <w:rsid w:val="00256F04"/>
    <w:rsid w:val="00256F55"/>
    <w:rsid w:val="00265FDB"/>
    <w:rsid w:val="00266772"/>
    <w:rsid w:val="00267F71"/>
    <w:rsid w:val="002712AE"/>
    <w:rsid w:val="002770BA"/>
    <w:rsid w:val="00290E37"/>
    <w:rsid w:val="0029375B"/>
    <w:rsid w:val="002945F1"/>
    <w:rsid w:val="00295DEC"/>
    <w:rsid w:val="002A3098"/>
    <w:rsid w:val="002A74A7"/>
    <w:rsid w:val="002C2DC3"/>
    <w:rsid w:val="002C4AA4"/>
    <w:rsid w:val="002C6EF1"/>
    <w:rsid w:val="002D25EA"/>
    <w:rsid w:val="002D272F"/>
    <w:rsid w:val="002D3461"/>
    <w:rsid w:val="002D3712"/>
    <w:rsid w:val="002D38AE"/>
    <w:rsid w:val="002D3CF3"/>
    <w:rsid w:val="002E3249"/>
    <w:rsid w:val="002E4096"/>
    <w:rsid w:val="002E541B"/>
    <w:rsid w:val="002E6AF5"/>
    <w:rsid w:val="002E7CBA"/>
    <w:rsid w:val="002F06AA"/>
    <w:rsid w:val="002F13B8"/>
    <w:rsid w:val="002F287D"/>
    <w:rsid w:val="002F534D"/>
    <w:rsid w:val="002F68A2"/>
    <w:rsid w:val="002F7482"/>
    <w:rsid w:val="0030245A"/>
    <w:rsid w:val="00305154"/>
    <w:rsid w:val="00305225"/>
    <w:rsid w:val="003062AD"/>
    <w:rsid w:val="00307F40"/>
    <w:rsid w:val="0031139B"/>
    <w:rsid w:val="003127DA"/>
    <w:rsid w:val="00316B83"/>
    <w:rsid w:val="00320451"/>
    <w:rsid w:val="003210FB"/>
    <w:rsid w:val="0032330D"/>
    <w:rsid w:val="00325AC5"/>
    <w:rsid w:val="0033021B"/>
    <w:rsid w:val="00333A1B"/>
    <w:rsid w:val="00335339"/>
    <w:rsid w:val="00335941"/>
    <w:rsid w:val="003359D8"/>
    <w:rsid w:val="00336989"/>
    <w:rsid w:val="00336A76"/>
    <w:rsid w:val="00337BD2"/>
    <w:rsid w:val="003400DC"/>
    <w:rsid w:val="0034154C"/>
    <w:rsid w:val="003473CA"/>
    <w:rsid w:val="00351257"/>
    <w:rsid w:val="003514EE"/>
    <w:rsid w:val="00351B75"/>
    <w:rsid w:val="00363671"/>
    <w:rsid w:val="00364EE3"/>
    <w:rsid w:val="0036600E"/>
    <w:rsid w:val="00367A93"/>
    <w:rsid w:val="003722B9"/>
    <w:rsid w:val="003757E4"/>
    <w:rsid w:val="00375834"/>
    <w:rsid w:val="00375D0E"/>
    <w:rsid w:val="003771E2"/>
    <w:rsid w:val="00380D67"/>
    <w:rsid w:val="0038719B"/>
    <w:rsid w:val="0039090B"/>
    <w:rsid w:val="00396082"/>
    <w:rsid w:val="0039616D"/>
    <w:rsid w:val="00396A4E"/>
    <w:rsid w:val="003A046E"/>
    <w:rsid w:val="003A396E"/>
    <w:rsid w:val="003A7A0D"/>
    <w:rsid w:val="003B02F8"/>
    <w:rsid w:val="003B2CBD"/>
    <w:rsid w:val="003B4BF5"/>
    <w:rsid w:val="003B5F60"/>
    <w:rsid w:val="003D0FAA"/>
    <w:rsid w:val="003D1066"/>
    <w:rsid w:val="003D4FCF"/>
    <w:rsid w:val="003E0D7F"/>
    <w:rsid w:val="003F1A56"/>
    <w:rsid w:val="003F35B6"/>
    <w:rsid w:val="003F70F2"/>
    <w:rsid w:val="003F711B"/>
    <w:rsid w:val="004007B2"/>
    <w:rsid w:val="0040593D"/>
    <w:rsid w:val="00406B6D"/>
    <w:rsid w:val="00410AF1"/>
    <w:rsid w:val="004165DE"/>
    <w:rsid w:val="004212A5"/>
    <w:rsid w:val="00421DB9"/>
    <w:rsid w:val="00427E73"/>
    <w:rsid w:val="004378C7"/>
    <w:rsid w:val="0044096D"/>
    <w:rsid w:val="00444127"/>
    <w:rsid w:val="004519B6"/>
    <w:rsid w:val="00452D49"/>
    <w:rsid w:val="00452E96"/>
    <w:rsid w:val="004607F4"/>
    <w:rsid w:val="00466CA6"/>
    <w:rsid w:val="00470BD2"/>
    <w:rsid w:val="004714DD"/>
    <w:rsid w:val="00473914"/>
    <w:rsid w:val="00481775"/>
    <w:rsid w:val="00482FCC"/>
    <w:rsid w:val="004838EB"/>
    <w:rsid w:val="00484FC6"/>
    <w:rsid w:val="00486DBB"/>
    <w:rsid w:val="00491992"/>
    <w:rsid w:val="00491A48"/>
    <w:rsid w:val="0049364E"/>
    <w:rsid w:val="00494146"/>
    <w:rsid w:val="00494FD7"/>
    <w:rsid w:val="0049577D"/>
    <w:rsid w:val="004A039B"/>
    <w:rsid w:val="004A0479"/>
    <w:rsid w:val="004A41E9"/>
    <w:rsid w:val="004A60C5"/>
    <w:rsid w:val="004B0FDB"/>
    <w:rsid w:val="004B1284"/>
    <w:rsid w:val="004B5A6F"/>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4BBE"/>
    <w:rsid w:val="004E5C94"/>
    <w:rsid w:val="004E6F5B"/>
    <w:rsid w:val="004F1BCC"/>
    <w:rsid w:val="004F6715"/>
    <w:rsid w:val="00500294"/>
    <w:rsid w:val="00501AEF"/>
    <w:rsid w:val="00503C04"/>
    <w:rsid w:val="0051393A"/>
    <w:rsid w:val="00513F66"/>
    <w:rsid w:val="00514B1C"/>
    <w:rsid w:val="005161DB"/>
    <w:rsid w:val="0051679B"/>
    <w:rsid w:val="00516C61"/>
    <w:rsid w:val="0052542D"/>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459A0"/>
    <w:rsid w:val="00550787"/>
    <w:rsid w:val="00550ABF"/>
    <w:rsid w:val="00551742"/>
    <w:rsid w:val="00551F69"/>
    <w:rsid w:val="00554B1D"/>
    <w:rsid w:val="0055630A"/>
    <w:rsid w:val="0056080A"/>
    <w:rsid w:val="0056257A"/>
    <w:rsid w:val="00562702"/>
    <w:rsid w:val="00562E7B"/>
    <w:rsid w:val="00563795"/>
    <w:rsid w:val="005646C3"/>
    <w:rsid w:val="005667D1"/>
    <w:rsid w:val="005739C6"/>
    <w:rsid w:val="0057471C"/>
    <w:rsid w:val="00574AAC"/>
    <w:rsid w:val="005818BC"/>
    <w:rsid w:val="00581FD9"/>
    <w:rsid w:val="00582C4B"/>
    <w:rsid w:val="00587481"/>
    <w:rsid w:val="00591832"/>
    <w:rsid w:val="00592632"/>
    <w:rsid w:val="00592841"/>
    <w:rsid w:val="005943C6"/>
    <w:rsid w:val="00596EEB"/>
    <w:rsid w:val="00597339"/>
    <w:rsid w:val="005A3231"/>
    <w:rsid w:val="005A7EB9"/>
    <w:rsid w:val="005B0AB6"/>
    <w:rsid w:val="005B3E68"/>
    <w:rsid w:val="005B4DEC"/>
    <w:rsid w:val="005B5CD0"/>
    <w:rsid w:val="005B6FD0"/>
    <w:rsid w:val="005C3139"/>
    <w:rsid w:val="005C3694"/>
    <w:rsid w:val="005C6148"/>
    <w:rsid w:val="005D05F7"/>
    <w:rsid w:val="005D161E"/>
    <w:rsid w:val="005D45ED"/>
    <w:rsid w:val="005D4FBB"/>
    <w:rsid w:val="005D682F"/>
    <w:rsid w:val="005E3592"/>
    <w:rsid w:val="005E46D2"/>
    <w:rsid w:val="005E74A9"/>
    <w:rsid w:val="005F60CA"/>
    <w:rsid w:val="005F64F0"/>
    <w:rsid w:val="00602616"/>
    <w:rsid w:val="006044D5"/>
    <w:rsid w:val="006051C4"/>
    <w:rsid w:val="0060750F"/>
    <w:rsid w:val="00614396"/>
    <w:rsid w:val="006201A2"/>
    <w:rsid w:val="006208C2"/>
    <w:rsid w:val="00621CAF"/>
    <w:rsid w:val="00622FDC"/>
    <w:rsid w:val="00625020"/>
    <w:rsid w:val="006304C2"/>
    <w:rsid w:val="00632704"/>
    <w:rsid w:val="00635DEE"/>
    <w:rsid w:val="0063677D"/>
    <w:rsid w:val="006368C5"/>
    <w:rsid w:val="00642493"/>
    <w:rsid w:val="00642E05"/>
    <w:rsid w:val="00642F26"/>
    <w:rsid w:val="0064360F"/>
    <w:rsid w:val="00643EFA"/>
    <w:rsid w:val="00645850"/>
    <w:rsid w:val="00650A32"/>
    <w:rsid w:val="006513D1"/>
    <w:rsid w:val="00651C2B"/>
    <w:rsid w:val="006521C1"/>
    <w:rsid w:val="00652553"/>
    <w:rsid w:val="0065274C"/>
    <w:rsid w:val="006562E0"/>
    <w:rsid w:val="00657051"/>
    <w:rsid w:val="00661374"/>
    <w:rsid w:val="00662C23"/>
    <w:rsid w:val="0066491F"/>
    <w:rsid w:val="00666A91"/>
    <w:rsid w:val="006704EE"/>
    <w:rsid w:val="0067053A"/>
    <w:rsid w:val="006712FA"/>
    <w:rsid w:val="006725BB"/>
    <w:rsid w:val="00676931"/>
    <w:rsid w:val="0068083D"/>
    <w:rsid w:val="006811A3"/>
    <w:rsid w:val="006822FA"/>
    <w:rsid w:val="006854F3"/>
    <w:rsid w:val="00686D14"/>
    <w:rsid w:val="00687ED7"/>
    <w:rsid w:val="00693B4C"/>
    <w:rsid w:val="0069453E"/>
    <w:rsid w:val="006B14F0"/>
    <w:rsid w:val="006B3473"/>
    <w:rsid w:val="006B4687"/>
    <w:rsid w:val="006B61C1"/>
    <w:rsid w:val="006C055A"/>
    <w:rsid w:val="006C144C"/>
    <w:rsid w:val="006C1669"/>
    <w:rsid w:val="006C1863"/>
    <w:rsid w:val="006C797F"/>
    <w:rsid w:val="006D76F8"/>
    <w:rsid w:val="006E094F"/>
    <w:rsid w:val="006E0F4E"/>
    <w:rsid w:val="006E278D"/>
    <w:rsid w:val="006E354E"/>
    <w:rsid w:val="006E565B"/>
    <w:rsid w:val="006E6B42"/>
    <w:rsid w:val="006E713C"/>
    <w:rsid w:val="006F0345"/>
    <w:rsid w:val="006F0469"/>
    <w:rsid w:val="006F1752"/>
    <w:rsid w:val="006F5C2E"/>
    <w:rsid w:val="006F60D1"/>
    <w:rsid w:val="006F616A"/>
    <w:rsid w:val="006F6DD5"/>
    <w:rsid w:val="006F7CED"/>
    <w:rsid w:val="0070207C"/>
    <w:rsid w:val="0070212A"/>
    <w:rsid w:val="007023CA"/>
    <w:rsid w:val="00703409"/>
    <w:rsid w:val="007040B6"/>
    <w:rsid w:val="00705076"/>
    <w:rsid w:val="00706DD2"/>
    <w:rsid w:val="00707B58"/>
    <w:rsid w:val="00711147"/>
    <w:rsid w:val="00711FB3"/>
    <w:rsid w:val="00713290"/>
    <w:rsid w:val="0071668C"/>
    <w:rsid w:val="007179BC"/>
    <w:rsid w:val="0072377C"/>
    <w:rsid w:val="0072543E"/>
    <w:rsid w:val="007254A0"/>
    <w:rsid w:val="007277E3"/>
    <w:rsid w:val="0073126D"/>
    <w:rsid w:val="00731A17"/>
    <w:rsid w:val="00732C29"/>
    <w:rsid w:val="00732D76"/>
    <w:rsid w:val="00734458"/>
    <w:rsid w:val="00735A38"/>
    <w:rsid w:val="007370F5"/>
    <w:rsid w:val="007419CF"/>
    <w:rsid w:val="00742A7A"/>
    <w:rsid w:val="0074487E"/>
    <w:rsid w:val="00746273"/>
    <w:rsid w:val="00746CAE"/>
    <w:rsid w:val="007473D3"/>
    <w:rsid w:val="00747EBD"/>
    <w:rsid w:val="0075029E"/>
    <w:rsid w:val="007517A6"/>
    <w:rsid w:val="00751DFF"/>
    <w:rsid w:val="0075237B"/>
    <w:rsid w:val="00754E65"/>
    <w:rsid w:val="00755532"/>
    <w:rsid w:val="00756062"/>
    <w:rsid w:val="00760BEF"/>
    <w:rsid w:val="0076326D"/>
    <w:rsid w:val="00763A45"/>
    <w:rsid w:val="00771F4F"/>
    <w:rsid w:val="007721BF"/>
    <w:rsid w:val="007732EE"/>
    <w:rsid w:val="00774E70"/>
    <w:rsid w:val="00776FFA"/>
    <w:rsid w:val="00780035"/>
    <w:rsid w:val="00782492"/>
    <w:rsid w:val="00784279"/>
    <w:rsid w:val="00786EF3"/>
    <w:rsid w:val="00787D98"/>
    <w:rsid w:val="00790ED9"/>
    <w:rsid w:val="00796CEE"/>
    <w:rsid w:val="00797FDE"/>
    <w:rsid w:val="007A3524"/>
    <w:rsid w:val="007A6304"/>
    <w:rsid w:val="007B0A9B"/>
    <w:rsid w:val="007B0D94"/>
    <w:rsid w:val="007B2D50"/>
    <w:rsid w:val="007C0B2A"/>
    <w:rsid w:val="007C0F9F"/>
    <w:rsid w:val="007D06C7"/>
    <w:rsid w:val="007D6F53"/>
    <w:rsid w:val="007E0460"/>
    <w:rsid w:val="007E3459"/>
    <w:rsid w:val="007F0876"/>
    <w:rsid w:val="007F34B1"/>
    <w:rsid w:val="007F6C97"/>
    <w:rsid w:val="00801778"/>
    <w:rsid w:val="00807940"/>
    <w:rsid w:val="00810972"/>
    <w:rsid w:val="00814704"/>
    <w:rsid w:val="00814BE6"/>
    <w:rsid w:val="00824CE1"/>
    <w:rsid w:val="008256D9"/>
    <w:rsid w:val="008270AB"/>
    <w:rsid w:val="00827FD3"/>
    <w:rsid w:val="00832D99"/>
    <w:rsid w:val="00833373"/>
    <w:rsid w:val="0083428B"/>
    <w:rsid w:val="00834F3F"/>
    <w:rsid w:val="008355AF"/>
    <w:rsid w:val="00835B0B"/>
    <w:rsid w:val="00836EDF"/>
    <w:rsid w:val="00840B34"/>
    <w:rsid w:val="00840F59"/>
    <w:rsid w:val="00841B44"/>
    <w:rsid w:val="00843302"/>
    <w:rsid w:val="00843E1D"/>
    <w:rsid w:val="008441CC"/>
    <w:rsid w:val="00844DF7"/>
    <w:rsid w:val="008458C8"/>
    <w:rsid w:val="0084639C"/>
    <w:rsid w:val="008526D5"/>
    <w:rsid w:val="0085281F"/>
    <w:rsid w:val="00853B4E"/>
    <w:rsid w:val="008577F6"/>
    <w:rsid w:val="00857D8A"/>
    <w:rsid w:val="00861B94"/>
    <w:rsid w:val="00863501"/>
    <w:rsid w:val="00865145"/>
    <w:rsid w:val="00865D15"/>
    <w:rsid w:val="00870017"/>
    <w:rsid w:val="00876211"/>
    <w:rsid w:val="0087725E"/>
    <w:rsid w:val="008822E5"/>
    <w:rsid w:val="00882473"/>
    <w:rsid w:val="00883940"/>
    <w:rsid w:val="00883CC4"/>
    <w:rsid w:val="008849F4"/>
    <w:rsid w:val="0088520A"/>
    <w:rsid w:val="00886881"/>
    <w:rsid w:val="0089690A"/>
    <w:rsid w:val="008A2609"/>
    <w:rsid w:val="008A3A66"/>
    <w:rsid w:val="008B0338"/>
    <w:rsid w:val="008B0AD1"/>
    <w:rsid w:val="008B0B89"/>
    <w:rsid w:val="008B6C1A"/>
    <w:rsid w:val="008B6E4E"/>
    <w:rsid w:val="008C2769"/>
    <w:rsid w:val="008C49A1"/>
    <w:rsid w:val="008D07FD"/>
    <w:rsid w:val="008D2891"/>
    <w:rsid w:val="008D331E"/>
    <w:rsid w:val="008D57E8"/>
    <w:rsid w:val="008D6E0C"/>
    <w:rsid w:val="008E3CDA"/>
    <w:rsid w:val="008E7456"/>
    <w:rsid w:val="008F0984"/>
    <w:rsid w:val="008F1D13"/>
    <w:rsid w:val="008F23FC"/>
    <w:rsid w:val="008F292C"/>
    <w:rsid w:val="00902692"/>
    <w:rsid w:val="0090347A"/>
    <w:rsid w:val="009042F1"/>
    <w:rsid w:val="00904EB5"/>
    <w:rsid w:val="009052E4"/>
    <w:rsid w:val="009054F9"/>
    <w:rsid w:val="00905E00"/>
    <w:rsid w:val="0090753C"/>
    <w:rsid w:val="00911410"/>
    <w:rsid w:val="009114C9"/>
    <w:rsid w:val="00912C48"/>
    <w:rsid w:val="00913373"/>
    <w:rsid w:val="00915303"/>
    <w:rsid w:val="009235F8"/>
    <w:rsid w:val="0092680C"/>
    <w:rsid w:val="009344CF"/>
    <w:rsid w:val="00935A5B"/>
    <w:rsid w:val="0093619F"/>
    <w:rsid w:val="009427E5"/>
    <w:rsid w:val="009454B7"/>
    <w:rsid w:val="00955032"/>
    <w:rsid w:val="009568A7"/>
    <w:rsid w:val="009613D8"/>
    <w:rsid w:val="00961618"/>
    <w:rsid w:val="009640A5"/>
    <w:rsid w:val="009662E3"/>
    <w:rsid w:val="009701B5"/>
    <w:rsid w:val="00971F77"/>
    <w:rsid w:val="00972D66"/>
    <w:rsid w:val="0097384E"/>
    <w:rsid w:val="00974275"/>
    <w:rsid w:val="009746FC"/>
    <w:rsid w:val="0098029F"/>
    <w:rsid w:val="009804FC"/>
    <w:rsid w:val="0098474B"/>
    <w:rsid w:val="00984F56"/>
    <w:rsid w:val="00986522"/>
    <w:rsid w:val="009919D4"/>
    <w:rsid w:val="0099425F"/>
    <w:rsid w:val="00995CBA"/>
    <w:rsid w:val="0099678C"/>
    <w:rsid w:val="00997689"/>
    <w:rsid w:val="009A01B9"/>
    <w:rsid w:val="009A252B"/>
    <w:rsid w:val="009A6099"/>
    <w:rsid w:val="009A6FFD"/>
    <w:rsid w:val="009B0C96"/>
    <w:rsid w:val="009B272B"/>
    <w:rsid w:val="009B4457"/>
    <w:rsid w:val="009C1B51"/>
    <w:rsid w:val="009C2190"/>
    <w:rsid w:val="009C222B"/>
    <w:rsid w:val="009C4CEC"/>
    <w:rsid w:val="009C60F7"/>
    <w:rsid w:val="009C67A8"/>
    <w:rsid w:val="009C7C74"/>
    <w:rsid w:val="009D02A2"/>
    <w:rsid w:val="009D0B5C"/>
    <w:rsid w:val="009D1E20"/>
    <w:rsid w:val="009D201B"/>
    <w:rsid w:val="009D54AC"/>
    <w:rsid w:val="009D5D9C"/>
    <w:rsid w:val="009D7905"/>
    <w:rsid w:val="009E2171"/>
    <w:rsid w:val="009E29AC"/>
    <w:rsid w:val="009E363A"/>
    <w:rsid w:val="009E537F"/>
    <w:rsid w:val="009E5BCA"/>
    <w:rsid w:val="009F1B31"/>
    <w:rsid w:val="009F1E54"/>
    <w:rsid w:val="009F6AD9"/>
    <w:rsid w:val="00A02DA9"/>
    <w:rsid w:val="00A037AB"/>
    <w:rsid w:val="00A04CC5"/>
    <w:rsid w:val="00A06F53"/>
    <w:rsid w:val="00A12B05"/>
    <w:rsid w:val="00A15841"/>
    <w:rsid w:val="00A1779E"/>
    <w:rsid w:val="00A26A74"/>
    <w:rsid w:val="00A35A36"/>
    <w:rsid w:val="00A36436"/>
    <w:rsid w:val="00A36ED7"/>
    <w:rsid w:val="00A45E6C"/>
    <w:rsid w:val="00A513C6"/>
    <w:rsid w:val="00A5344E"/>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6A14"/>
    <w:rsid w:val="00A87DBB"/>
    <w:rsid w:val="00AA0E6D"/>
    <w:rsid w:val="00AA43EF"/>
    <w:rsid w:val="00AA666C"/>
    <w:rsid w:val="00AB1032"/>
    <w:rsid w:val="00AB2901"/>
    <w:rsid w:val="00AB601A"/>
    <w:rsid w:val="00AC00C8"/>
    <w:rsid w:val="00AC2D5B"/>
    <w:rsid w:val="00AC321A"/>
    <w:rsid w:val="00AC4630"/>
    <w:rsid w:val="00AC6A31"/>
    <w:rsid w:val="00AD138A"/>
    <w:rsid w:val="00AD36B2"/>
    <w:rsid w:val="00AD7AE5"/>
    <w:rsid w:val="00AE2DE1"/>
    <w:rsid w:val="00AE3A74"/>
    <w:rsid w:val="00AE456E"/>
    <w:rsid w:val="00AF3845"/>
    <w:rsid w:val="00AF47AE"/>
    <w:rsid w:val="00AF7575"/>
    <w:rsid w:val="00AF7BA9"/>
    <w:rsid w:val="00AF7CA8"/>
    <w:rsid w:val="00B0249E"/>
    <w:rsid w:val="00B043A7"/>
    <w:rsid w:val="00B11A9B"/>
    <w:rsid w:val="00B11B83"/>
    <w:rsid w:val="00B124A3"/>
    <w:rsid w:val="00B140B2"/>
    <w:rsid w:val="00B144C2"/>
    <w:rsid w:val="00B20BFC"/>
    <w:rsid w:val="00B225B2"/>
    <w:rsid w:val="00B27B4D"/>
    <w:rsid w:val="00B327F1"/>
    <w:rsid w:val="00B32ABB"/>
    <w:rsid w:val="00B33759"/>
    <w:rsid w:val="00B41FD3"/>
    <w:rsid w:val="00B426D3"/>
    <w:rsid w:val="00B431DE"/>
    <w:rsid w:val="00B451BB"/>
    <w:rsid w:val="00B452C0"/>
    <w:rsid w:val="00B54E42"/>
    <w:rsid w:val="00B56332"/>
    <w:rsid w:val="00B70D03"/>
    <w:rsid w:val="00B71F06"/>
    <w:rsid w:val="00B752F0"/>
    <w:rsid w:val="00B7650B"/>
    <w:rsid w:val="00B803E7"/>
    <w:rsid w:val="00B81B58"/>
    <w:rsid w:val="00B82098"/>
    <w:rsid w:val="00B82E14"/>
    <w:rsid w:val="00B94110"/>
    <w:rsid w:val="00B97F73"/>
    <w:rsid w:val="00BA0356"/>
    <w:rsid w:val="00BA18D2"/>
    <w:rsid w:val="00BA2D93"/>
    <w:rsid w:val="00BA4DDE"/>
    <w:rsid w:val="00BA68A9"/>
    <w:rsid w:val="00BA741D"/>
    <w:rsid w:val="00BB217C"/>
    <w:rsid w:val="00BB49D5"/>
    <w:rsid w:val="00BB6C6A"/>
    <w:rsid w:val="00BC3E90"/>
    <w:rsid w:val="00BC655F"/>
    <w:rsid w:val="00BD3717"/>
    <w:rsid w:val="00BD4A9C"/>
    <w:rsid w:val="00BE1E62"/>
    <w:rsid w:val="00BE3AB6"/>
    <w:rsid w:val="00BE5453"/>
    <w:rsid w:val="00BF5F3E"/>
    <w:rsid w:val="00BF7052"/>
    <w:rsid w:val="00C034B4"/>
    <w:rsid w:val="00C05FAB"/>
    <w:rsid w:val="00C1046C"/>
    <w:rsid w:val="00C1704D"/>
    <w:rsid w:val="00C173F8"/>
    <w:rsid w:val="00C20E5C"/>
    <w:rsid w:val="00C219C1"/>
    <w:rsid w:val="00C22430"/>
    <w:rsid w:val="00C25617"/>
    <w:rsid w:val="00C25D21"/>
    <w:rsid w:val="00C26499"/>
    <w:rsid w:val="00C26986"/>
    <w:rsid w:val="00C2702C"/>
    <w:rsid w:val="00C2765B"/>
    <w:rsid w:val="00C27D8C"/>
    <w:rsid w:val="00C3438E"/>
    <w:rsid w:val="00C35399"/>
    <w:rsid w:val="00C3546C"/>
    <w:rsid w:val="00C3555B"/>
    <w:rsid w:val="00C3674D"/>
    <w:rsid w:val="00C37237"/>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3E47"/>
    <w:rsid w:val="00C86E8E"/>
    <w:rsid w:val="00C8751F"/>
    <w:rsid w:val="00C90365"/>
    <w:rsid w:val="00C9495E"/>
    <w:rsid w:val="00C94C1E"/>
    <w:rsid w:val="00CA0842"/>
    <w:rsid w:val="00CA1DE0"/>
    <w:rsid w:val="00CA2399"/>
    <w:rsid w:val="00CA348A"/>
    <w:rsid w:val="00CA352D"/>
    <w:rsid w:val="00CA366B"/>
    <w:rsid w:val="00CA65AB"/>
    <w:rsid w:val="00CA6658"/>
    <w:rsid w:val="00CA6F26"/>
    <w:rsid w:val="00CB186A"/>
    <w:rsid w:val="00CB2CE6"/>
    <w:rsid w:val="00CB35D9"/>
    <w:rsid w:val="00CB399B"/>
    <w:rsid w:val="00CC1F78"/>
    <w:rsid w:val="00CC7941"/>
    <w:rsid w:val="00CD1498"/>
    <w:rsid w:val="00CD159A"/>
    <w:rsid w:val="00CE0AE1"/>
    <w:rsid w:val="00CE0B88"/>
    <w:rsid w:val="00CF08BB"/>
    <w:rsid w:val="00CF4B38"/>
    <w:rsid w:val="00D030AD"/>
    <w:rsid w:val="00D07417"/>
    <w:rsid w:val="00D10386"/>
    <w:rsid w:val="00D15439"/>
    <w:rsid w:val="00D156FC"/>
    <w:rsid w:val="00D21982"/>
    <w:rsid w:val="00D231DB"/>
    <w:rsid w:val="00D2377F"/>
    <w:rsid w:val="00D249E8"/>
    <w:rsid w:val="00D26E56"/>
    <w:rsid w:val="00D30E68"/>
    <w:rsid w:val="00D31D9E"/>
    <w:rsid w:val="00D323A8"/>
    <w:rsid w:val="00D34538"/>
    <w:rsid w:val="00D4115E"/>
    <w:rsid w:val="00D47355"/>
    <w:rsid w:val="00D473FF"/>
    <w:rsid w:val="00D5069D"/>
    <w:rsid w:val="00D50C48"/>
    <w:rsid w:val="00D554AB"/>
    <w:rsid w:val="00D57397"/>
    <w:rsid w:val="00D61996"/>
    <w:rsid w:val="00D61E23"/>
    <w:rsid w:val="00D76935"/>
    <w:rsid w:val="00D76B50"/>
    <w:rsid w:val="00D76C76"/>
    <w:rsid w:val="00D8674A"/>
    <w:rsid w:val="00D9415C"/>
    <w:rsid w:val="00D94590"/>
    <w:rsid w:val="00D97D62"/>
    <w:rsid w:val="00DA24D2"/>
    <w:rsid w:val="00DA469E"/>
    <w:rsid w:val="00DA5D0F"/>
    <w:rsid w:val="00DB03F7"/>
    <w:rsid w:val="00DB2D55"/>
    <w:rsid w:val="00DB4021"/>
    <w:rsid w:val="00DB7675"/>
    <w:rsid w:val="00DC31CB"/>
    <w:rsid w:val="00DC36B9"/>
    <w:rsid w:val="00DC432E"/>
    <w:rsid w:val="00DC54BA"/>
    <w:rsid w:val="00DC6BE7"/>
    <w:rsid w:val="00DD1D5E"/>
    <w:rsid w:val="00DD1F80"/>
    <w:rsid w:val="00DD2BB2"/>
    <w:rsid w:val="00DD2E12"/>
    <w:rsid w:val="00DD5C42"/>
    <w:rsid w:val="00DD6DEB"/>
    <w:rsid w:val="00DE0955"/>
    <w:rsid w:val="00DE1D8D"/>
    <w:rsid w:val="00DE49FA"/>
    <w:rsid w:val="00DF4E3D"/>
    <w:rsid w:val="00DF4E9E"/>
    <w:rsid w:val="00DF62F4"/>
    <w:rsid w:val="00E0021E"/>
    <w:rsid w:val="00E030D4"/>
    <w:rsid w:val="00E0430F"/>
    <w:rsid w:val="00E04A81"/>
    <w:rsid w:val="00E05E7B"/>
    <w:rsid w:val="00E1001E"/>
    <w:rsid w:val="00E136E5"/>
    <w:rsid w:val="00E1409F"/>
    <w:rsid w:val="00E16D31"/>
    <w:rsid w:val="00E21FBE"/>
    <w:rsid w:val="00E22965"/>
    <w:rsid w:val="00E2351D"/>
    <w:rsid w:val="00E2506F"/>
    <w:rsid w:val="00E25DCD"/>
    <w:rsid w:val="00E269E1"/>
    <w:rsid w:val="00E31EED"/>
    <w:rsid w:val="00E32917"/>
    <w:rsid w:val="00E337D0"/>
    <w:rsid w:val="00E372E5"/>
    <w:rsid w:val="00E42F90"/>
    <w:rsid w:val="00E45F13"/>
    <w:rsid w:val="00E479C7"/>
    <w:rsid w:val="00E50B75"/>
    <w:rsid w:val="00E510BC"/>
    <w:rsid w:val="00E51616"/>
    <w:rsid w:val="00E52BA4"/>
    <w:rsid w:val="00E530CC"/>
    <w:rsid w:val="00E61256"/>
    <w:rsid w:val="00E62D12"/>
    <w:rsid w:val="00E65BF8"/>
    <w:rsid w:val="00E66B3B"/>
    <w:rsid w:val="00E73CB2"/>
    <w:rsid w:val="00E746D7"/>
    <w:rsid w:val="00E75E18"/>
    <w:rsid w:val="00E77123"/>
    <w:rsid w:val="00E839BA"/>
    <w:rsid w:val="00E8428A"/>
    <w:rsid w:val="00E84C5B"/>
    <w:rsid w:val="00E84E96"/>
    <w:rsid w:val="00E85B74"/>
    <w:rsid w:val="00E90D03"/>
    <w:rsid w:val="00E949A8"/>
    <w:rsid w:val="00E96364"/>
    <w:rsid w:val="00EA0F01"/>
    <w:rsid w:val="00EA5080"/>
    <w:rsid w:val="00EA59B8"/>
    <w:rsid w:val="00EA5A01"/>
    <w:rsid w:val="00EC1D69"/>
    <w:rsid w:val="00EC2DF9"/>
    <w:rsid w:val="00EC6A5B"/>
    <w:rsid w:val="00EC6EC9"/>
    <w:rsid w:val="00ED0A6F"/>
    <w:rsid w:val="00ED240B"/>
    <w:rsid w:val="00ED423C"/>
    <w:rsid w:val="00ED60E9"/>
    <w:rsid w:val="00EE0BC4"/>
    <w:rsid w:val="00EE6E36"/>
    <w:rsid w:val="00EF1AEA"/>
    <w:rsid w:val="00EF5E4D"/>
    <w:rsid w:val="00F0041B"/>
    <w:rsid w:val="00F016BC"/>
    <w:rsid w:val="00F01EA9"/>
    <w:rsid w:val="00F03F53"/>
    <w:rsid w:val="00F052A0"/>
    <w:rsid w:val="00F0660B"/>
    <w:rsid w:val="00F07D9D"/>
    <w:rsid w:val="00F11F49"/>
    <w:rsid w:val="00F123AE"/>
    <w:rsid w:val="00F13F0C"/>
    <w:rsid w:val="00F1552A"/>
    <w:rsid w:val="00F16C91"/>
    <w:rsid w:val="00F25768"/>
    <w:rsid w:val="00F3243F"/>
    <w:rsid w:val="00F32B93"/>
    <w:rsid w:val="00F337FC"/>
    <w:rsid w:val="00F34538"/>
    <w:rsid w:val="00F362F0"/>
    <w:rsid w:val="00F37F4F"/>
    <w:rsid w:val="00F417C0"/>
    <w:rsid w:val="00F42175"/>
    <w:rsid w:val="00F43784"/>
    <w:rsid w:val="00F44F26"/>
    <w:rsid w:val="00F4725C"/>
    <w:rsid w:val="00F51185"/>
    <w:rsid w:val="00F52CAB"/>
    <w:rsid w:val="00F54596"/>
    <w:rsid w:val="00F5551A"/>
    <w:rsid w:val="00F60160"/>
    <w:rsid w:val="00F626F3"/>
    <w:rsid w:val="00F644F2"/>
    <w:rsid w:val="00F6654E"/>
    <w:rsid w:val="00F6698B"/>
    <w:rsid w:val="00F70129"/>
    <w:rsid w:val="00F7054A"/>
    <w:rsid w:val="00F70900"/>
    <w:rsid w:val="00F7174D"/>
    <w:rsid w:val="00F72593"/>
    <w:rsid w:val="00F72EF4"/>
    <w:rsid w:val="00F73331"/>
    <w:rsid w:val="00F770E8"/>
    <w:rsid w:val="00F800D9"/>
    <w:rsid w:val="00F87174"/>
    <w:rsid w:val="00F91D37"/>
    <w:rsid w:val="00F921E8"/>
    <w:rsid w:val="00F92E65"/>
    <w:rsid w:val="00F934CB"/>
    <w:rsid w:val="00F9610D"/>
    <w:rsid w:val="00F978FE"/>
    <w:rsid w:val="00F9794B"/>
    <w:rsid w:val="00FA0916"/>
    <w:rsid w:val="00FA4A45"/>
    <w:rsid w:val="00FA710C"/>
    <w:rsid w:val="00FB239D"/>
    <w:rsid w:val="00FB5828"/>
    <w:rsid w:val="00FB657F"/>
    <w:rsid w:val="00FB7DDF"/>
    <w:rsid w:val="00FC5023"/>
    <w:rsid w:val="00FC570F"/>
    <w:rsid w:val="00FD161A"/>
    <w:rsid w:val="00FD2271"/>
    <w:rsid w:val="00FE1EF2"/>
    <w:rsid w:val="00FE70E5"/>
    <w:rsid w:val="00FE7D09"/>
    <w:rsid w:val="00FF02BD"/>
    <w:rsid w:val="00FF0895"/>
    <w:rsid w:val="00FF3430"/>
    <w:rsid w:val="00FF3B4D"/>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737A7"/>
  <w15:docId w15:val="{6772A7C9-E4D1-4DC0-8FFA-FD17F87A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fr-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79" w:unhideWhenUsed="1"/>
    <w:lsdException w:name="footer" w:semiHidden="1" w:uiPriority="8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fr-CH"/>
    </w:rPr>
  </w:style>
  <w:style w:type="paragraph" w:customStyle="1" w:styleId="Tabellentext">
    <w:name w:val="Tabellentext"/>
    <w:basedOn w:val="Standard"/>
    <w:qFormat/>
    <w:rsid w:val="004E4BBE"/>
    <w:pPr>
      <w:keepNext/>
      <w:spacing w:before="40" w:after="40" w:line="240" w:lineRule="auto"/>
    </w:pPr>
    <w:rPr>
      <w:rFonts w:ascii="Arial" w:eastAsia="Times New Roman" w:hAnsi="Arial" w:cs="Times New Roman"/>
      <w:bCs w:val="0"/>
      <w:spacing w:val="0"/>
      <w:sz w:val="18"/>
      <w:szCs w:val="24"/>
      <w:lang w:eastAsia="de-DE"/>
    </w:rPr>
  </w:style>
  <w:style w:type="paragraph" w:customStyle="1" w:styleId="Quelle">
    <w:name w:val="Quelle"/>
    <w:basedOn w:val="Tabellentext"/>
    <w:next w:val="Textkrper"/>
    <w:rsid w:val="004E4BBE"/>
    <w:pPr>
      <w:keepNext w:val="0"/>
      <w:widowControl w:val="0"/>
      <w:tabs>
        <w:tab w:val="left" w:pos="680"/>
      </w:tabs>
      <w:spacing w:before="180" w:after="360"/>
      <w:ind w:left="680" w:hanging="680"/>
    </w:pPr>
    <w:rPr>
      <w:sz w:val="16"/>
    </w:rPr>
  </w:style>
  <w:style w:type="table" w:customStyle="1" w:styleId="Ecoplankombi">
    <w:name w:val="Ecoplan kombi"/>
    <w:basedOn w:val="NormaleTabelle"/>
    <w:uiPriority w:val="99"/>
    <w:rsid w:val="004E4BBE"/>
    <w:pPr>
      <w:spacing w:after="0" w:line="240" w:lineRule="auto"/>
    </w:pPr>
    <w:rPr>
      <w:rFonts w:ascii="Arial" w:eastAsia="Times New Roman" w:hAnsi="Arial" w:cs="Times New Roman"/>
      <w:sz w:val="18"/>
      <w:szCs w:val="20"/>
      <w:lang w:eastAsia="de-CH"/>
    </w:rPr>
    <w:tblPr>
      <w:tblStyleRowBandSize w:val="1"/>
      <w:tblBorders>
        <w:top w:val="single" w:sz="12" w:space="0" w:color="7D9AA8" w:themeColor="accent1" w:themeTint="99"/>
        <w:bottom w:val="single" w:sz="12" w:space="0" w:color="7D9AA8" w:themeColor="accent1" w:themeTint="99"/>
      </w:tblBorders>
      <w:tblCellMar>
        <w:left w:w="57" w:type="dxa"/>
        <w:right w:w="57" w:type="dxa"/>
      </w:tblCellMar>
    </w:tblPr>
    <w:tblStylePr w:type="firstRow">
      <w:tblPr/>
      <w:tcPr>
        <w:tcBorders>
          <w:top w:val="nil"/>
          <w:left w:val="nil"/>
          <w:bottom w:val="nil"/>
          <w:right w:val="nil"/>
          <w:insideH w:val="nil"/>
          <w:insideV w:val="nil"/>
          <w:tl2br w:val="nil"/>
          <w:tr2bl w:val="nil"/>
        </w:tcBorders>
        <w:shd w:val="clear" w:color="auto" w:fill="A8BBC5" w:themeFill="accent1" w:themeFillTint="66"/>
      </w:tcPr>
    </w:tblStylePr>
    <w:tblStylePr w:type="lastRow">
      <w:tblPr/>
      <w:tcPr>
        <w:tcBorders>
          <w:bottom w:val="single" w:sz="12" w:space="0" w:color="7D9AA8" w:themeColor="accent1" w:themeTint="99"/>
        </w:tcBorders>
      </w:tcPr>
    </w:tblStylePr>
    <w:tblStylePr w:type="band1Horz">
      <w:tblPr/>
      <w:tcPr>
        <w:tcBorders>
          <w:bottom w:val="single" w:sz="8" w:space="0" w:color="7D9AA8" w:themeColor="accent1" w:themeTint="99"/>
          <w:insideH w:val="nil"/>
        </w:tcBorders>
      </w:tcPr>
    </w:tblStylePr>
    <w:tblStylePr w:type="band2Horz">
      <w:tblPr/>
      <w:tcPr>
        <w:tcBorders>
          <w:bottom w:val="single" w:sz="8" w:space="0" w:color="7D9AA8" w:themeColor="accent1" w:themeTint="99"/>
        </w:tcBorders>
      </w:tcPr>
    </w:tblStylePr>
  </w:style>
  <w:style w:type="character" w:styleId="Kommentarzeichen">
    <w:name w:val="annotation reference"/>
    <w:basedOn w:val="Absatz-Standardschriftart"/>
    <w:semiHidden/>
    <w:unhideWhenUsed/>
    <w:rsid w:val="004E4BBE"/>
    <w:rPr>
      <w:sz w:val="16"/>
      <w:szCs w:val="16"/>
    </w:rPr>
  </w:style>
  <w:style w:type="paragraph" w:styleId="Kommentartext">
    <w:name w:val="annotation text"/>
    <w:basedOn w:val="Standard"/>
    <w:link w:val="KommentartextZchn"/>
    <w:unhideWhenUsed/>
    <w:rsid w:val="004E4BBE"/>
    <w:pPr>
      <w:spacing w:line="240" w:lineRule="auto"/>
    </w:pPr>
    <w:rPr>
      <w:rFonts w:ascii="Arial" w:eastAsia="Times New Roman" w:hAnsi="Arial" w:cs="Times New Roman"/>
      <w:bCs w:val="0"/>
      <w:spacing w:val="0"/>
      <w:sz w:val="20"/>
      <w:szCs w:val="20"/>
      <w:lang w:eastAsia="de-DE"/>
    </w:rPr>
  </w:style>
  <w:style w:type="character" w:customStyle="1" w:styleId="KommentartextZchn">
    <w:name w:val="Kommentartext Zchn"/>
    <w:basedOn w:val="Absatz-Standardschriftart"/>
    <w:link w:val="Kommentartext"/>
    <w:rsid w:val="004E4BBE"/>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270AB"/>
    <w:rPr>
      <w:rFonts w:asciiTheme="minorHAnsi" w:eastAsiaTheme="minorHAnsi" w:hAnsiTheme="minorHAnsi" w:cs="System"/>
      <w:b/>
      <w:bCs/>
      <w:spacing w:val="2"/>
      <w:lang w:eastAsia="en-US"/>
    </w:rPr>
  </w:style>
  <w:style w:type="character" w:customStyle="1" w:styleId="KommentarthemaZchn">
    <w:name w:val="Kommentarthema Zchn"/>
    <w:basedOn w:val="KommentartextZchn"/>
    <w:link w:val="Kommentarthema"/>
    <w:uiPriority w:val="99"/>
    <w:semiHidden/>
    <w:rsid w:val="008270AB"/>
    <w:rPr>
      <w:rFonts w:ascii="Arial" w:eastAsia="Times New Roman" w:hAnsi="Arial" w:cs="System"/>
      <w:b/>
      <w:bCs/>
      <w:spacing w:val="2"/>
      <w:sz w:val="20"/>
      <w:szCs w:val="20"/>
      <w:lang w:eastAsia="de-DE"/>
    </w:rPr>
  </w:style>
  <w:style w:type="paragraph" w:customStyle="1" w:styleId="Zwischentitel">
    <w:name w:val="Zwischentitel"/>
    <w:basedOn w:val="berschrift3"/>
    <w:next w:val="Textkrper"/>
    <w:qFormat/>
    <w:rsid w:val="001E0DF4"/>
    <w:pPr>
      <w:keepLines w:val="0"/>
      <w:spacing w:before="480" w:after="120" w:line="240" w:lineRule="auto"/>
      <w:outlineLvl w:val="9"/>
    </w:pPr>
    <w:rPr>
      <w:rFonts w:ascii="Arial" w:eastAsia="Times New Roman" w:hAnsi="Arial" w:cs="Arial"/>
      <w:iCs/>
      <w:spacing w:val="0"/>
      <w:kern w:val="32"/>
      <w:sz w:val="20"/>
      <w:szCs w:val="26"/>
      <w:lang w:eastAsia="de-DE"/>
    </w:rPr>
  </w:style>
  <w:style w:type="paragraph" w:styleId="berarbeitung">
    <w:name w:val="Revision"/>
    <w:hidden/>
    <w:uiPriority w:val="99"/>
    <w:semiHidden/>
    <w:rsid w:val="00F4725C"/>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be.ch/fr/start/themen/Finanzen/FinanzundLastenausgleich/lastenausgleichssyteme.html"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4B8161A7E41DB9B7169160F38AF72"/>
        <w:category>
          <w:name w:val="Allgemein"/>
          <w:gallery w:val="placeholder"/>
        </w:category>
        <w:types>
          <w:type w:val="bbPlcHdr"/>
        </w:types>
        <w:behaviors>
          <w:behavior w:val="content"/>
        </w:behaviors>
        <w:guid w:val="{C6A44693-D9B6-4151-A510-0CE908E835F5}"/>
      </w:docPartPr>
      <w:docPartBody>
        <w:p w:rsidR="008B0338" w:rsidRDefault="006850D7">
          <w:pPr>
            <w:pStyle w:val="74F4B8161A7E41DB9B7169160F38AF72"/>
          </w:pPr>
          <w:r>
            <w:rPr>
              <w:rStyle w:val="Platzhaltertext"/>
            </w:rPr>
            <w:t>Klassifizierung auswählen</w:t>
          </w:r>
        </w:p>
      </w:docPartBody>
    </w:docPart>
    <w:docPart>
      <w:docPartPr>
        <w:name w:val="53777B18E75E4B0AAB2D678C1FCD9249"/>
        <w:category>
          <w:name w:val="Allgemein"/>
          <w:gallery w:val="placeholder"/>
        </w:category>
        <w:types>
          <w:type w:val="bbPlcHdr"/>
        </w:types>
        <w:behaviors>
          <w:behavior w:val="content"/>
        </w:behaviors>
        <w:guid w:val="{ACE22601-6432-4B9D-8339-1FCDDCA9EEAE}"/>
      </w:docPartPr>
      <w:docPartBody>
        <w:p w:rsidR="008B0338" w:rsidRDefault="006850D7">
          <w:pPr>
            <w:pStyle w:val="53777B18E75E4B0AAB2D678C1FCD9249"/>
          </w:pPr>
          <w:r w:rsidRPr="00E372E5">
            <w:rPr>
              <w:rStyle w:val="Platzhaltertext"/>
            </w:rPr>
            <w:t xml:space="preserve">Datum </w:t>
          </w:r>
          <w:r>
            <w:rPr>
              <w:rStyle w:val="Platzhaltertext"/>
            </w:rPr>
            <w:t>auswählen</w:t>
          </w:r>
          <w:r w:rsidRPr="00E372E5">
            <w:rPr>
              <w:rStyle w:val="Platzhaltertext"/>
            </w:rPr>
            <w:t>.</w:t>
          </w:r>
        </w:p>
      </w:docPartBody>
    </w:docPart>
    <w:docPart>
      <w:docPartPr>
        <w:name w:val="45108E1F063146478E6A6A52592A46A0"/>
        <w:category>
          <w:name w:val="Allgemein"/>
          <w:gallery w:val="placeholder"/>
        </w:category>
        <w:types>
          <w:type w:val="bbPlcHdr"/>
        </w:types>
        <w:behaviors>
          <w:behavior w:val="content"/>
        </w:behaviors>
        <w:guid w:val="{8CCAB49E-D3DF-4746-B902-BAF40260F84C}"/>
      </w:docPartPr>
      <w:docPartBody>
        <w:p w:rsidR="008B0338" w:rsidRDefault="00B53729" w:rsidP="00B53729">
          <w:pPr>
            <w:pStyle w:val="45108E1F063146478E6A6A52592A46A03"/>
          </w:pPr>
          <w:r w:rsidRPr="004B5A6F">
            <w:rPr>
              <w:rFonts w:ascii="Arial" w:eastAsia="Arial" w:hAnsi="Arial"/>
              <w:sz w:val="17"/>
            </w:rPr>
            <w:t xml:space="preserve"> </w:t>
          </w:r>
          <w:r>
            <w:rPr>
              <w:rFonts w:ascii="Arial" w:eastAsia="Arial" w:hAnsi="Arial"/>
              <w:vanish/>
              <w:color w:val="45B0E1" w:themeColor="accent1" w:themeTint="99"/>
              <w:sz w:val="17"/>
            </w:rPr>
            <w:t>sélectionner la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89"/>
    <w:rsid w:val="000D0A57"/>
    <w:rsid w:val="000F49AB"/>
    <w:rsid w:val="00144C8A"/>
    <w:rsid w:val="00164B9D"/>
    <w:rsid w:val="001A7D8B"/>
    <w:rsid w:val="00307F40"/>
    <w:rsid w:val="003175C5"/>
    <w:rsid w:val="0036600E"/>
    <w:rsid w:val="00395A13"/>
    <w:rsid w:val="003A7A0D"/>
    <w:rsid w:val="00494146"/>
    <w:rsid w:val="0051393A"/>
    <w:rsid w:val="005232BF"/>
    <w:rsid w:val="005459A0"/>
    <w:rsid w:val="006850D7"/>
    <w:rsid w:val="006B14F0"/>
    <w:rsid w:val="006E094F"/>
    <w:rsid w:val="006F1752"/>
    <w:rsid w:val="006F616A"/>
    <w:rsid w:val="00707B58"/>
    <w:rsid w:val="00782492"/>
    <w:rsid w:val="008355AF"/>
    <w:rsid w:val="008526D5"/>
    <w:rsid w:val="00855B99"/>
    <w:rsid w:val="008B0338"/>
    <w:rsid w:val="008B0B89"/>
    <w:rsid w:val="009235F8"/>
    <w:rsid w:val="009B4457"/>
    <w:rsid w:val="009E29AC"/>
    <w:rsid w:val="00A87BE1"/>
    <w:rsid w:val="00B53729"/>
    <w:rsid w:val="00BE5453"/>
    <w:rsid w:val="00C94C1E"/>
    <w:rsid w:val="00D26E56"/>
    <w:rsid w:val="00D31325"/>
    <w:rsid w:val="00D77E0B"/>
    <w:rsid w:val="00E32E03"/>
    <w:rsid w:val="00F337FC"/>
    <w:rsid w:val="00F43784"/>
    <w:rsid w:val="00F770E8"/>
    <w:rsid w:val="00F802BC"/>
    <w:rsid w:val="00FC57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3729"/>
    <w:rPr>
      <w:vanish/>
      <w:color w:val="45B0E1" w:themeColor="accent1" w:themeTint="99"/>
    </w:rPr>
  </w:style>
  <w:style w:type="paragraph" w:customStyle="1" w:styleId="74F4B8161A7E41DB9B7169160F38AF72">
    <w:name w:val="74F4B8161A7E41DB9B7169160F38AF72"/>
  </w:style>
  <w:style w:type="paragraph" w:customStyle="1" w:styleId="53777B18E75E4B0AAB2D678C1FCD9249">
    <w:name w:val="53777B18E75E4B0AAB2D678C1FCD9249"/>
  </w:style>
  <w:style w:type="paragraph" w:customStyle="1" w:styleId="45108E1F063146478E6A6A52592A46A03">
    <w:name w:val="45108E1F063146478E6A6A52592A46A03"/>
    <w:rsid w:val="00B53729"/>
    <w:pPr>
      <w:tabs>
        <w:tab w:val="left" w:pos="2552"/>
        <w:tab w:val="left" w:pos="5103"/>
        <w:tab w:val="left" w:pos="7655"/>
        <w:tab w:val="right" w:pos="9979"/>
      </w:tabs>
      <w:spacing w:after="0" w:line="240" w:lineRule="auto"/>
    </w:pPr>
    <w:rPr>
      <w:rFonts w:eastAsiaTheme="minorHAnsi" w:cs="System"/>
      <w:bCs/>
      <w:spacing w:val="2"/>
      <w:sz w:val="13"/>
      <w:szCs w:val="13"/>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C694DF0-677E-482A-B346-5057FB31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6563</Words>
  <Characters>41350</Characters>
  <Application>Microsoft Office Word</Application>
  <DocSecurity>4</DocSecurity>
  <Lines>344</Lines>
  <Paragraphs>95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Schneeberger Katrin</dc:creator>
  <dc:description>numéro de document</dc:description>
  <cp:lastModifiedBy>Dänzer Beat, FIN-FV</cp:lastModifiedBy>
  <cp:revision>2</cp:revision>
  <cp:lastPrinted>2019-09-11T20:00:00Z</cp:lastPrinted>
  <dcterms:created xsi:type="dcterms:W3CDTF">2025-04-23T09:27:00Z</dcterms:created>
  <dcterms:modified xsi:type="dcterms:W3CDTF">2025-04-23T09:27:00Z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2024-11-28T14:51:32Z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cb7e3f14-0cb1-4f2a-af10-ffe679c0f0dc</vt:lpwstr>
  </property>
  <property fmtid="{D5CDD505-2E9C-101B-9397-08002B2CF9AE}" pid="8" name="MSIP_Label_74fdd986-87d9-48c6-acda-407b1ab5fef0_ContentBits">
    <vt:lpwstr>0</vt:lpwstr>
  </property>
</Properties>
</file>