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79C3" w14:textId="553E283E" w:rsidR="00986522" w:rsidRPr="00A5344E" w:rsidRDefault="00986522" w:rsidP="00754E65">
      <w:pPr>
        <w:spacing w:after="1700" w:line="276" w:lineRule="auto"/>
        <w:rPr>
          <w:rFonts w:asciiTheme="majorHAnsi" w:hAnsiTheme="majorHAnsi" w:cstheme="majorHAnsi"/>
        </w:rPr>
      </w:pPr>
    </w:p>
    <w:p w14:paraId="7F200AD3" w14:textId="3EF16FF2" w:rsidR="00596EEB" w:rsidRPr="00A5344E" w:rsidRDefault="00984F56" w:rsidP="00754E65">
      <w:pPr>
        <w:pStyle w:val="Text85pt"/>
        <w:rPr>
          <w:rFonts w:asciiTheme="majorHAnsi" w:hAnsiTheme="majorHAnsi" w:cstheme="majorHAnsi"/>
        </w:rPr>
      </w:pPr>
      <w:r w:rsidRPr="00A5344E">
        <w:rPr>
          <w:rFonts w:asciiTheme="majorHAnsi" w:hAnsiTheme="majorHAnsi" w:cstheme="majorHAnsi"/>
        </w:rPr>
        <w:t>Finanzverwaltung</w:t>
      </w:r>
    </w:p>
    <w:p w14:paraId="36B120C5" w14:textId="77777777" w:rsidR="004E4BBE" w:rsidRPr="00A5344E" w:rsidRDefault="004E4BBE" w:rsidP="00754E65">
      <w:pPr>
        <w:pStyle w:val="Untertitel"/>
        <w:rPr>
          <w:rFonts w:asciiTheme="majorHAnsi" w:eastAsiaTheme="majorEastAsia" w:hAnsiTheme="majorHAnsi" w:cstheme="majorHAnsi"/>
          <w:color w:val="auto"/>
          <w:spacing w:val="0"/>
          <w:kern w:val="28"/>
        </w:rPr>
      </w:pPr>
      <w:r w:rsidRPr="00A5344E">
        <w:rPr>
          <w:rFonts w:asciiTheme="majorHAnsi" w:eastAsiaTheme="majorEastAsia" w:hAnsiTheme="majorHAnsi" w:cstheme="majorHAnsi"/>
          <w:color w:val="auto"/>
          <w:spacing w:val="0"/>
          <w:kern w:val="28"/>
        </w:rPr>
        <w:t>Laufende Analyse der Wirkungen des Gesetzes über den Finanz- und Lastenausgleich (FILAG)</w:t>
      </w:r>
    </w:p>
    <w:p w14:paraId="5EBC7A83" w14:textId="2C794F4B" w:rsidR="004B5A6F" w:rsidRPr="00A5344E" w:rsidRDefault="004E4BBE" w:rsidP="004B5A6F">
      <w:pPr>
        <w:pStyle w:val="Text85pt"/>
        <w:rPr>
          <w:rFonts w:asciiTheme="majorHAnsi" w:hAnsiTheme="majorHAnsi" w:cstheme="majorHAnsi"/>
        </w:rPr>
      </w:pPr>
      <w:r w:rsidRPr="00A5344E">
        <w:rPr>
          <w:rFonts w:asciiTheme="majorHAnsi" w:eastAsiaTheme="minorEastAsia" w:hAnsiTheme="majorHAnsi" w:cstheme="majorHAnsi"/>
          <w:color w:val="B1B9BD" w:themeColor="background2"/>
          <w:sz w:val="44"/>
          <w:szCs w:val="44"/>
        </w:rPr>
        <w:t>Bericht 2024</w:t>
      </w:r>
    </w:p>
    <w:p w14:paraId="7FB4EB3F" w14:textId="77777777" w:rsidR="004B5A6F" w:rsidRPr="00A5344E" w:rsidRDefault="004B5A6F" w:rsidP="004B5A6F">
      <w:pPr>
        <w:pStyle w:val="Text85pt"/>
        <w:rPr>
          <w:rFonts w:asciiTheme="majorHAnsi" w:hAnsiTheme="majorHAnsi" w:cstheme="majorHAnsi"/>
        </w:rPr>
      </w:pPr>
    </w:p>
    <w:p w14:paraId="5AB1D329" w14:textId="77777777" w:rsidR="004B5A6F" w:rsidRPr="00A5344E" w:rsidRDefault="004B5A6F" w:rsidP="004B5A6F">
      <w:pPr>
        <w:pStyle w:val="Text85pt"/>
        <w:rPr>
          <w:rFonts w:asciiTheme="majorHAnsi" w:hAnsiTheme="majorHAnsi" w:cstheme="majorHAnsi"/>
        </w:rPr>
      </w:pPr>
    </w:p>
    <w:p w14:paraId="72FEAEB9" w14:textId="77777777" w:rsidR="004B5A6F" w:rsidRPr="00A5344E" w:rsidRDefault="004B5A6F" w:rsidP="004B5A6F">
      <w:pPr>
        <w:pStyle w:val="Text85pt"/>
        <w:rPr>
          <w:rFonts w:asciiTheme="majorHAnsi" w:hAnsiTheme="majorHAnsi" w:cstheme="majorHAnsi"/>
        </w:rPr>
      </w:pPr>
    </w:p>
    <w:bookmarkStart w:id="0" w:name="Klassifizierung"/>
    <w:p w14:paraId="2F81DF73" w14:textId="4C4A4FB2" w:rsidR="004B5A6F" w:rsidRPr="00A5344E" w:rsidRDefault="000D6EF6" w:rsidP="004B5A6F">
      <w:pPr>
        <w:spacing w:line="215" w:lineRule="atLeast"/>
        <w:ind w:left="1708" w:hanging="1708"/>
        <w:rPr>
          <w:rFonts w:asciiTheme="majorHAnsi" w:eastAsia="Arial" w:hAnsiTheme="majorHAnsi" w:cstheme="majorHAnsi"/>
          <w:sz w:val="17"/>
        </w:rPr>
      </w:pPr>
      <w:sdt>
        <w:sdtPr>
          <w:rPr>
            <w:rFonts w:asciiTheme="majorHAnsi" w:eastAsia="Arial" w:hAnsiTheme="majorHAnsi" w:cstheme="majorHAnsi"/>
            <w:sz w:val="17"/>
          </w:rPr>
          <w:id w:val="1673300542"/>
          <w:placeholder>
            <w:docPart w:val="74F4B8161A7E41DB9B7169160F38AF72"/>
          </w:placeholder>
          <w:comboBox>
            <w:listItem w:displayText="Nicht klassifiziert" w:value="Nicht klassifiziert"/>
            <w:listItem w:displayText="INTERN" w:value="INTERN"/>
            <w:listItem w:displayText="VERTRAULICH" w:value="VERTRAULICH"/>
            <w:listItem w:displayText="GEHEIM" w:value="GEHEIM"/>
          </w:comboBox>
        </w:sdtPr>
        <w:sdtEndPr/>
        <w:sdtContent>
          <w:r w:rsidR="004E4BBE" w:rsidRPr="00A5344E">
            <w:rPr>
              <w:rFonts w:asciiTheme="majorHAnsi" w:eastAsia="Arial" w:hAnsiTheme="majorHAnsi" w:cstheme="majorHAnsi"/>
              <w:sz w:val="17"/>
            </w:rPr>
            <w:t>INTERN</w:t>
          </w:r>
        </w:sdtContent>
      </w:sdt>
      <w:bookmarkEnd w:id="0"/>
    </w:p>
    <w:p w14:paraId="24661C84" w14:textId="77777777" w:rsidR="00DC6BE7" w:rsidRPr="00A5344E" w:rsidRDefault="00DC6BE7" w:rsidP="004B5A6F">
      <w:pPr>
        <w:spacing w:line="215" w:lineRule="atLeast"/>
        <w:ind w:left="1708" w:hanging="1708"/>
        <w:rPr>
          <w:rFonts w:asciiTheme="majorHAnsi" w:eastAsia="Arial" w:hAnsiTheme="majorHAnsi" w:cstheme="majorHAnsi"/>
          <w:sz w:val="17"/>
        </w:rPr>
      </w:pPr>
    </w:p>
    <w:p w14:paraId="7C60B058" w14:textId="70905C32" w:rsidR="006E713C" w:rsidRPr="00A5344E" w:rsidRDefault="0038719B" w:rsidP="00DC6BE7">
      <w:pPr>
        <w:pStyle w:val="Text85pt"/>
        <w:rPr>
          <w:rFonts w:asciiTheme="majorHAnsi" w:hAnsiTheme="majorHAnsi" w:cstheme="majorHAnsi"/>
        </w:rPr>
      </w:pPr>
      <w:r w:rsidRPr="00A5344E">
        <w:rPr>
          <w:rFonts w:asciiTheme="majorHAnsi" w:hAnsiTheme="majorHAnsi" w:cstheme="majorHAnsi"/>
          <w:noProof/>
          <w:lang w:eastAsia="de-CH"/>
        </w:rPr>
        <mc:AlternateContent>
          <mc:Choice Requires="wps">
            <w:drawing>
              <wp:anchor distT="0" distB="0" distL="114300" distR="114300" simplePos="0" relativeHeight="251659264" behindDoc="0" locked="1" layoutInCell="1" allowOverlap="1" wp14:anchorId="10055B4E" wp14:editId="6D2DD2D6">
                <wp:simplePos x="0" y="0"/>
                <wp:positionH relativeFrom="column">
                  <wp:posOffset>0</wp:posOffset>
                </wp:positionH>
                <wp:positionV relativeFrom="page">
                  <wp:posOffset>5073015</wp:posOffset>
                </wp:positionV>
                <wp:extent cx="6152400" cy="252000"/>
                <wp:effectExtent l="0" t="0" r="1270" b="15240"/>
                <wp:wrapNone/>
                <wp:docPr id="13" name="Textfeld 13"/>
                <wp:cNvGraphicFramePr/>
                <a:graphic xmlns:a="http://schemas.openxmlformats.org/drawingml/2006/main">
                  <a:graphicData uri="http://schemas.microsoft.com/office/word/2010/wordprocessingShape">
                    <wps:wsp>
                      <wps:cNvSpPr txBox="1"/>
                      <wps:spPr>
                        <a:xfrm>
                          <a:off x="0" y="0"/>
                          <a:ext cx="6152400"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8681" w14:textId="071CD8D4" w:rsidR="00797FDE" w:rsidRDefault="0038719B" w:rsidP="004A41E9">
                            <w:pPr>
                              <w:pStyle w:val="Text85pt"/>
                              <w:tabs>
                                <w:tab w:val="left" w:pos="5100"/>
                              </w:tabs>
                            </w:pPr>
                            <w:r w:rsidRPr="00A513C6">
                              <w:t xml:space="preserve">Herausgabe </w:t>
                            </w:r>
                            <w:r w:rsidR="00D76C76">
                              <w:t>FV</w:t>
                            </w:r>
                            <w:r w:rsidRPr="00A513C6">
                              <w:tab/>
                            </w:r>
                            <w:sdt>
                              <w:sdtPr>
                                <w:id w:val="173085829"/>
                                <w:placeholder>
                                  <w:docPart w:val="53777B18E75E4B0AAB2D678C1FCD9249"/>
                                </w:placeholder>
                                <w:date w:fullDate="2025-02-19T00:00:00Z">
                                  <w:dateFormat w:val="MM/yyyy"/>
                                  <w:lid w:val="de-CH"/>
                                  <w:storeMappedDataAs w:val="dateTime"/>
                                  <w:calendar w:val="gregorian"/>
                                </w:date>
                              </w:sdtPr>
                              <w:sdtEndPr/>
                              <w:sdtContent>
                                <w:r w:rsidR="00A513C6">
                                  <w:t>02/2025</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0055B4E" id="_x0000_t202" coordsize="21600,21600" o:spt="202" path="m,l,21600r21600,l21600,xe">
                <v:stroke joinstyle="miter"/>
                <v:path gradientshapeok="t" o:connecttype="rect"/>
              </v:shapetype>
              <v:shape id="Textfeld 13" o:spid="_x0000_s1026" type="#_x0000_t202" style="position:absolute;margin-left:0;margin-top:399.45pt;width:484.4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" filled="f" stroked="f" strokeweight=".5pt">
                <v:textbox inset="0,0,0,0">
                  <w:txbxContent>
                    <w:p w14:paraId="66248681" w14:textId="071CD8D4" w:rsidR="00797FDE" w:rsidRDefault="0038719B" w:rsidP="004A41E9">
                      <w:pPr>
                        <w:pStyle w:val="Text85pt"/>
                        <w:tabs>
                          <w:tab w:val="left" w:pos="5100"/>
                        </w:tabs>
                      </w:pPr>
                      <w:r w:rsidRPr="00A513C6">
                        <w:t xml:space="preserve">Herausgabe </w:t>
                      </w:r>
                      <w:r w:rsidR="00D76C76">
                        <w:t>FV</w:t>
                      </w:r>
                      <w:r w:rsidRPr="00A513C6">
                        <w:tab/>
                      </w:r>
                      <w:sdt>
                        <w:sdtPr>
                          <w:id w:val="173085829"/>
                          <w:placeholder>
                            <w:docPart w:val="53777B18E75E4B0AAB2D678C1FCD9249"/>
                          </w:placeholder>
                          <w:date w:fullDate="2025-02-19T00:00:00Z">
                            <w:dateFormat w:val="MM/yyyy"/>
                            <w:lid w:val="de-CH"/>
                            <w:storeMappedDataAs w:val="dateTime"/>
                            <w:calendar w:val="gregorian"/>
                          </w:date>
                        </w:sdtPr>
                        <w:sdtEndPr/>
                        <w:sdtContent>
                          <w:r w:rsidR="00A513C6">
                            <w:t>02/2025</w:t>
                          </w:r>
                        </w:sdtContent>
                      </w:sdt>
                    </w:p>
                  </w:txbxContent>
                </v:textbox>
                <w10:wrap anchory="page"/>
                <w10:anchorlock/>
              </v:shape>
            </w:pict>
          </mc:Fallback>
        </mc:AlternateContent>
      </w:r>
      <w:r w:rsidR="006E713C" w:rsidRPr="00A5344E">
        <w:rPr>
          <w:rFonts w:asciiTheme="majorHAnsi" w:hAnsiTheme="majorHAnsi" w:cstheme="majorHAnsi"/>
        </w:rPr>
        <w:br w:type="page"/>
      </w:r>
    </w:p>
    <w:sdt>
      <w:sdtPr>
        <w:rPr>
          <w:rFonts w:asciiTheme="minorHAnsi" w:eastAsiaTheme="minorHAnsi" w:hAnsiTheme="minorHAnsi" w:cstheme="majorHAnsi"/>
          <w:b w:val="0"/>
          <w:szCs w:val="22"/>
        </w:rPr>
        <w:id w:val="-341472833"/>
        <w:docPartObj>
          <w:docPartGallery w:val="Table of Contents"/>
          <w:docPartUnique/>
        </w:docPartObj>
      </w:sdtPr>
      <w:sdtEndPr>
        <w:rPr>
          <w:bCs w:val="0"/>
        </w:rPr>
      </w:sdtEndPr>
      <w:sdtContent>
        <w:p w14:paraId="245A093F" w14:textId="77777777" w:rsidR="00E479C7" w:rsidRPr="00A5344E" w:rsidRDefault="0038719B" w:rsidP="00E479C7">
          <w:pPr>
            <w:pStyle w:val="Inhaltsverzeichnisberschrift"/>
            <w:rPr>
              <w:rFonts w:cstheme="majorHAnsi"/>
            </w:rPr>
          </w:pPr>
          <w:r w:rsidRPr="00A5344E">
            <w:rPr>
              <w:rFonts w:cstheme="majorHAnsi"/>
            </w:rPr>
            <w:t>Inhaltsverzeichnis</w:t>
          </w:r>
        </w:p>
        <w:p w14:paraId="4E2AFB18" w14:textId="03543E4E" w:rsidR="00BE3AB6" w:rsidRDefault="0038719B">
          <w:pPr>
            <w:pStyle w:val="Verzeichnis1"/>
            <w:rPr>
              <w:rFonts w:eastAsiaTheme="minorEastAsia" w:cstheme="minorBidi"/>
              <w:b w:val="0"/>
              <w:bCs w:val="0"/>
              <w:noProof/>
              <w:spacing w:val="0"/>
              <w:kern w:val="2"/>
              <w:sz w:val="24"/>
              <w:szCs w:val="24"/>
              <w:lang w:eastAsia="de-CH"/>
              <w14:ligatures w14:val="standardContextual"/>
            </w:rPr>
          </w:pPr>
          <w:r w:rsidRPr="00A5344E">
            <w:rPr>
              <w:rFonts w:asciiTheme="majorHAnsi" w:hAnsiTheme="majorHAnsi" w:cstheme="majorHAnsi"/>
              <w:bCs w:val="0"/>
            </w:rPr>
            <w:fldChar w:fldCharType="begin"/>
          </w:r>
          <w:r w:rsidRPr="00A5344E">
            <w:rPr>
              <w:rFonts w:asciiTheme="majorHAnsi" w:hAnsiTheme="majorHAnsi" w:cstheme="majorHAnsi"/>
              <w:bCs w:val="0"/>
            </w:rPr>
            <w:instrText xml:space="preserve"> TOC \o "1-3" \h \z \u </w:instrText>
          </w:r>
          <w:r w:rsidRPr="00A5344E">
            <w:rPr>
              <w:rFonts w:asciiTheme="majorHAnsi" w:hAnsiTheme="majorHAnsi" w:cstheme="majorHAnsi"/>
              <w:bCs w:val="0"/>
            </w:rPr>
            <w:fldChar w:fldCharType="separate"/>
          </w:r>
          <w:hyperlink w:anchor="_Toc191888228" w:history="1">
            <w:r w:rsidR="00BE3AB6" w:rsidRPr="00467D36">
              <w:rPr>
                <w:rStyle w:val="Hyperlink"/>
                <w:rFonts w:cstheme="majorHAnsi"/>
                <w:noProof/>
                <w:spacing w:val="-10"/>
              </w:rPr>
              <w:t>1.</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Laufende Analyse 2024</w:t>
            </w:r>
            <w:r w:rsidR="00BE3AB6">
              <w:rPr>
                <w:noProof/>
                <w:webHidden/>
              </w:rPr>
              <w:tab/>
            </w:r>
            <w:r w:rsidR="00BE3AB6">
              <w:rPr>
                <w:noProof/>
                <w:webHidden/>
              </w:rPr>
              <w:fldChar w:fldCharType="begin"/>
            </w:r>
            <w:r w:rsidR="00BE3AB6">
              <w:rPr>
                <w:noProof/>
                <w:webHidden/>
              </w:rPr>
              <w:instrText xml:space="preserve"> PAGEREF _Toc191888228 \h </w:instrText>
            </w:r>
            <w:r w:rsidR="00BE3AB6">
              <w:rPr>
                <w:noProof/>
                <w:webHidden/>
              </w:rPr>
            </w:r>
            <w:r w:rsidR="00BE3AB6">
              <w:rPr>
                <w:noProof/>
                <w:webHidden/>
              </w:rPr>
              <w:fldChar w:fldCharType="separate"/>
            </w:r>
            <w:r w:rsidR="00BE3AB6">
              <w:rPr>
                <w:noProof/>
                <w:webHidden/>
              </w:rPr>
              <w:t>3</w:t>
            </w:r>
            <w:r w:rsidR="00BE3AB6">
              <w:rPr>
                <w:noProof/>
                <w:webHidden/>
              </w:rPr>
              <w:fldChar w:fldCharType="end"/>
            </w:r>
          </w:hyperlink>
        </w:p>
        <w:p w14:paraId="61EFA6BA" w14:textId="115C505C"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29" w:history="1">
            <w:r w:rsidR="00BE3AB6" w:rsidRPr="00467D36">
              <w:rPr>
                <w:rStyle w:val="Hyperlink"/>
                <w:rFonts w:cstheme="majorHAnsi"/>
                <w:noProof/>
                <w:spacing w:val="-10"/>
              </w:rPr>
              <w:t>1.1</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Hintergrund</w:t>
            </w:r>
            <w:r w:rsidR="00BE3AB6">
              <w:rPr>
                <w:noProof/>
                <w:webHidden/>
              </w:rPr>
              <w:tab/>
            </w:r>
            <w:r w:rsidR="00BE3AB6">
              <w:rPr>
                <w:noProof/>
                <w:webHidden/>
              </w:rPr>
              <w:fldChar w:fldCharType="begin"/>
            </w:r>
            <w:r w:rsidR="00BE3AB6">
              <w:rPr>
                <w:noProof/>
                <w:webHidden/>
              </w:rPr>
              <w:instrText xml:space="preserve"> PAGEREF _Toc191888229 \h </w:instrText>
            </w:r>
            <w:r w:rsidR="00BE3AB6">
              <w:rPr>
                <w:noProof/>
                <w:webHidden/>
              </w:rPr>
            </w:r>
            <w:r w:rsidR="00BE3AB6">
              <w:rPr>
                <w:noProof/>
                <w:webHidden/>
              </w:rPr>
              <w:fldChar w:fldCharType="separate"/>
            </w:r>
            <w:r w:rsidR="00BE3AB6">
              <w:rPr>
                <w:noProof/>
                <w:webHidden/>
              </w:rPr>
              <w:t>3</w:t>
            </w:r>
            <w:r w:rsidR="00BE3AB6">
              <w:rPr>
                <w:noProof/>
                <w:webHidden/>
              </w:rPr>
              <w:fldChar w:fldCharType="end"/>
            </w:r>
          </w:hyperlink>
        </w:p>
        <w:p w14:paraId="41DC13B3" w14:textId="26950A85"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0" w:history="1">
            <w:r w:rsidR="00BE3AB6" w:rsidRPr="00467D36">
              <w:rPr>
                <w:rStyle w:val="Hyperlink"/>
                <w:rFonts w:cstheme="majorHAnsi"/>
                <w:noProof/>
                <w:spacing w:val="-10"/>
              </w:rPr>
              <w:t>1.2</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Aufbau des Berichts</w:t>
            </w:r>
            <w:r w:rsidR="00BE3AB6">
              <w:rPr>
                <w:noProof/>
                <w:webHidden/>
              </w:rPr>
              <w:tab/>
            </w:r>
            <w:r w:rsidR="00BE3AB6">
              <w:rPr>
                <w:noProof/>
                <w:webHidden/>
              </w:rPr>
              <w:fldChar w:fldCharType="begin"/>
            </w:r>
            <w:r w:rsidR="00BE3AB6">
              <w:rPr>
                <w:noProof/>
                <w:webHidden/>
              </w:rPr>
              <w:instrText xml:space="preserve"> PAGEREF _Toc191888230 \h </w:instrText>
            </w:r>
            <w:r w:rsidR="00BE3AB6">
              <w:rPr>
                <w:noProof/>
                <w:webHidden/>
              </w:rPr>
            </w:r>
            <w:r w:rsidR="00BE3AB6">
              <w:rPr>
                <w:noProof/>
                <w:webHidden/>
              </w:rPr>
              <w:fldChar w:fldCharType="separate"/>
            </w:r>
            <w:r w:rsidR="00BE3AB6">
              <w:rPr>
                <w:noProof/>
                <w:webHidden/>
              </w:rPr>
              <w:t>3</w:t>
            </w:r>
            <w:r w:rsidR="00BE3AB6">
              <w:rPr>
                <w:noProof/>
                <w:webHidden/>
              </w:rPr>
              <w:fldChar w:fldCharType="end"/>
            </w:r>
          </w:hyperlink>
        </w:p>
        <w:p w14:paraId="32EC839C" w14:textId="7EFE4474"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31" w:history="1">
            <w:r w:rsidR="00BE3AB6" w:rsidRPr="00467D36">
              <w:rPr>
                <w:rStyle w:val="Hyperlink"/>
                <w:rFonts w:cstheme="majorHAnsi"/>
                <w:noProof/>
                <w:spacing w:val="-10"/>
              </w:rPr>
              <w:t>2.</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Finanzausgleich</w:t>
            </w:r>
            <w:r w:rsidR="00BE3AB6">
              <w:rPr>
                <w:noProof/>
                <w:webHidden/>
              </w:rPr>
              <w:tab/>
            </w:r>
            <w:r w:rsidR="00BE3AB6">
              <w:rPr>
                <w:noProof/>
                <w:webHidden/>
              </w:rPr>
              <w:fldChar w:fldCharType="begin"/>
            </w:r>
            <w:r w:rsidR="00BE3AB6">
              <w:rPr>
                <w:noProof/>
                <w:webHidden/>
              </w:rPr>
              <w:instrText xml:space="preserve"> PAGEREF _Toc191888231 \h </w:instrText>
            </w:r>
            <w:r w:rsidR="00BE3AB6">
              <w:rPr>
                <w:noProof/>
                <w:webHidden/>
              </w:rPr>
            </w:r>
            <w:r w:rsidR="00BE3AB6">
              <w:rPr>
                <w:noProof/>
                <w:webHidden/>
              </w:rPr>
              <w:fldChar w:fldCharType="separate"/>
            </w:r>
            <w:r w:rsidR="00BE3AB6">
              <w:rPr>
                <w:noProof/>
                <w:webHidden/>
              </w:rPr>
              <w:t>4</w:t>
            </w:r>
            <w:r w:rsidR="00BE3AB6">
              <w:rPr>
                <w:noProof/>
                <w:webHidden/>
              </w:rPr>
              <w:fldChar w:fldCharType="end"/>
            </w:r>
          </w:hyperlink>
        </w:p>
        <w:p w14:paraId="3681B963" w14:textId="415079EF"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2" w:history="1">
            <w:r w:rsidR="00BE3AB6" w:rsidRPr="00467D36">
              <w:rPr>
                <w:rStyle w:val="Hyperlink"/>
                <w:rFonts w:cstheme="majorHAnsi"/>
                <w:noProof/>
                <w:spacing w:val="-10"/>
              </w:rPr>
              <w:t>2.1</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Direkter Finanzausgleich</w:t>
            </w:r>
            <w:r w:rsidR="00BE3AB6">
              <w:rPr>
                <w:noProof/>
                <w:webHidden/>
              </w:rPr>
              <w:tab/>
            </w:r>
            <w:r w:rsidR="00BE3AB6">
              <w:rPr>
                <w:noProof/>
                <w:webHidden/>
              </w:rPr>
              <w:fldChar w:fldCharType="begin"/>
            </w:r>
            <w:r w:rsidR="00BE3AB6">
              <w:rPr>
                <w:noProof/>
                <w:webHidden/>
              </w:rPr>
              <w:instrText xml:space="preserve"> PAGEREF _Toc191888232 \h </w:instrText>
            </w:r>
            <w:r w:rsidR="00BE3AB6">
              <w:rPr>
                <w:noProof/>
                <w:webHidden/>
              </w:rPr>
            </w:r>
            <w:r w:rsidR="00BE3AB6">
              <w:rPr>
                <w:noProof/>
                <w:webHidden/>
              </w:rPr>
              <w:fldChar w:fldCharType="separate"/>
            </w:r>
            <w:r w:rsidR="00BE3AB6">
              <w:rPr>
                <w:noProof/>
                <w:webHidden/>
              </w:rPr>
              <w:t>4</w:t>
            </w:r>
            <w:r w:rsidR="00BE3AB6">
              <w:rPr>
                <w:noProof/>
                <w:webHidden/>
              </w:rPr>
              <w:fldChar w:fldCharType="end"/>
            </w:r>
          </w:hyperlink>
        </w:p>
        <w:p w14:paraId="29B1C9E8" w14:textId="164CD796"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3" w:history="1">
            <w:r w:rsidR="00BE3AB6" w:rsidRPr="00467D36">
              <w:rPr>
                <w:rStyle w:val="Hyperlink"/>
                <w:rFonts w:cstheme="majorHAnsi"/>
                <w:noProof/>
                <w:spacing w:val="-10"/>
              </w:rPr>
              <w:t>2.2</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Massnahmen für besonders belastete Gemeinden</w:t>
            </w:r>
            <w:r w:rsidR="00BE3AB6">
              <w:rPr>
                <w:noProof/>
                <w:webHidden/>
              </w:rPr>
              <w:tab/>
            </w:r>
            <w:r w:rsidR="00BE3AB6">
              <w:rPr>
                <w:noProof/>
                <w:webHidden/>
              </w:rPr>
              <w:fldChar w:fldCharType="begin"/>
            </w:r>
            <w:r w:rsidR="00BE3AB6">
              <w:rPr>
                <w:noProof/>
                <w:webHidden/>
              </w:rPr>
              <w:instrText xml:space="preserve"> PAGEREF _Toc191888233 \h </w:instrText>
            </w:r>
            <w:r w:rsidR="00BE3AB6">
              <w:rPr>
                <w:noProof/>
                <w:webHidden/>
              </w:rPr>
            </w:r>
            <w:r w:rsidR="00BE3AB6">
              <w:rPr>
                <w:noProof/>
                <w:webHidden/>
              </w:rPr>
              <w:fldChar w:fldCharType="separate"/>
            </w:r>
            <w:r w:rsidR="00BE3AB6">
              <w:rPr>
                <w:noProof/>
                <w:webHidden/>
              </w:rPr>
              <w:t>5</w:t>
            </w:r>
            <w:r w:rsidR="00BE3AB6">
              <w:rPr>
                <w:noProof/>
                <w:webHidden/>
              </w:rPr>
              <w:fldChar w:fldCharType="end"/>
            </w:r>
          </w:hyperlink>
        </w:p>
        <w:p w14:paraId="249B92F0" w14:textId="71B1B7B8"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4" w:history="1">
            <w:r w:rsidR="00BE3AB6" w:rsidRPr="00467D36">
              <w:rPr>
                <w:rStyle w:val="Hyperlink"/>
                <w:rFonts w:cstheme="majorHAnsi"/>
                <w:noProof/>
                <w:spacing w:val="-10"/>
              </w:rPr>
              <w:t>2.3</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Entwicklung der Disparitäten in der Steuerkraft der Gemeinden</w:t>
            </w:r>
            <w:r w:rsidR="00BE3AB6">
              <w:rPr>
                <w:noProof/>
                <w:webHidden/>
              </w:rPr>
              <w:tab/>
            </w:r>
            <w:r w:rsidR="00BE3AB6">
              <w:rPr>
                <w:noProof/>
                <w:webHidden/>
              </w:rPr>
              <w:fldChar w:fldCharType="begin"/>
            </w:r>
            <w:r w:rsidR="00BE3AB6">
              <w:rPr>
                <w:noProof/>
                <w:webHidden/>
              </w:rPr>
              <w:instrText xml:space="preserve"> PAGEREF _Toc191888234 \h </w:instrText>
            </w:r>
            <w:r w:rsidR="00BE3AB6">
              <w:rPr>
                <w:noProof/>
                <w:webHidden/>
              </w:rPr>
            </w:r>
            <w:r w:rsidR="00BE3AB6">
              <w:rPr>
                <w:noProof/>
                <w:webHidden/>
              </w:rPr>
              <w:fldChar w:fldCharType="separate"/>
            </w:r>
            <w:r w:rsidR="00BE3AB6">
              <w:rPr>
                <w:noProof/>
                <w:webHidden/>
              </w:rPr>
              <w:t>5</w:t>
            </w:r>
            <w:r w:rsidR="00BE3AB6">
              <w:rPr>
                <w:noProof/>
                <w:webHidden/>
              </w:rPr>
              <w:fldChar w:fldCharType="end"/>
            </w:r>
          </w:hyperlink>
        </w:p>
        <w:p w14:paraId="7F60C9DD" w14:textId="353373DD"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35" w:history="1">
            <w:r w:rsidR="00BE3AB6" w:rsidRPr="00467D36">
              <w:rPr>
                <w:rStyle w:val="Hyperlink"/>
                <w:rFonts w:cstheme="majorHAnsi"/>
                <w:noProof/>
                <w:spacing w:val="-10"/>
              </w:rPr>
              <w:t>3.</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Lastenausgleichssysteme</w:t>
            </w:r>
            <w:r w:rsidR="00BE3AB6">
              <w:rPr>
                <w:noProof/>
                <w:webHidden/>
              </w:rPr>
              <w:tab/>
            </w:r>
            <w:r w:rsidR="00BE3AB6">
              <w:rPr>
                <w:noProof/>
                <w:webHidden/>
              </w:rPr>
              <w:fldChar w:fldCharType="begin"/>
            </w:r>
            <w:r w:rsidR="00BE3AB6">
              <w:rPr>
                <w:noProof/>
                <w:webHidden/>
              </w:rPr>
              <w:instrText xml:space="preserve"> PAGEREF _Toc191888235 \h </w:instrText>
            </w:r>
            <w:r w:rsidR="00BE3AB6">
              <w:rPr>
                <w:noProof/>
                <w:webHidden/>
              </w:rPr>
            </w:r>
            <w:r w:rsidR="00BE3AB6">
              <w:rPr>
                <w:noProof/>
                <w:webHidden/>
              </w:rPr>
              <w:fldChar w:fldCharType="separate"/>
            </w:r>
            <w:r w:rsidR="00BE3AB6">
              <w:rPr>
                <w:noProof/>
                <w:webHidden/>
              </w:rPr>
              <w:t>7</w:t>
            </w:r>
            <w:r w:rsidR="00BE3AB6">
              <w:rPr>
                <w:noProof/>
                <w:webHidden/>
              </w:rPr>
              <w:fldChar w:fldCharType="end"/>
            </w:r>
          </w:hyperlink>
        </w:p>
        <w:p w14:paraId="3F2D2AD5" w14:textId="68065D9E"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6" w:history="1">
            <w:r w:rsidR="00BE3AB6" w:rsidRPr="00467D36">
              <w:rPr>
                <w:rStyle w:val="Hyperlink"/>
                <w:rFonts w:cstheme="majorHAnsi"/>
                <w:noProof/>
                <w:spacing w:val="-10"/>
              </w:rPr>
              <w:t>3.1</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Überblick</w:t>
            </w:r>
            <w:r w:rsidR="00BE3AB6">
              <w:rPr>
                <w:noProof/>
                <w:webHidden/>
              </w:rPr>
              <w:tab/>
            </w:r>
            <w:r w:rsidR="00BE3AB6">
              <w:rPr>
                <w:noProof/>
                <w:webHidden/>
              </w:rPr>
              <w:fldChar w:fldCharType="begin"/>
            </w:r>
            <w:r w:rsidR="00BE3AB6">
              <w:rPr>
                <w:noProof/>
                <w:webHidden/>
              </w:rPr>
              <w:instrText xml:space="preserve"> PAGEREF _Toc191888236 \h </w:instrText>
            </w:r>
            <w:r w:rsidR="00BE3AB6">
              <w:rPr>
                <w:noProof/>
                <w:webHidden/>
              </w:rPr>
            </w:r>
            <w:r w:rsidR="00BE3AB6">
              <w:rPr>
                <w:noProof/>
                <w:webHidden/>
              </w:rPr>
              <w:fldChar w:fldCharType="separate"/>
            </w:r>
            <w:r w:rsidR="00BE3AB6">
              <w:rPr>
                <w:noProof/>
                <w:webHidden/>
              </w:rPr>
              <w:t>7</w:t>
            </w:r>
            <w:r w:rsidR="00BE3AB6">
              <w:rPr>
                <w:noProof/>
                <w:webHidden/>
              </w:rPr>
              <w:fldChar w:fldCharType="end"/>
            </w:r>
          </w:hyperlink>
        </w:p>
        <w:p w14:paraId="42D0F77C" w14:textId="50A0ABDA"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7" w:history="1">
            <w:r w:rsidR="00BE3AB6" w:rsidRPr="00467D36">
              <w:rPr>
                <w:rStyle w:val="Hyperlink"/>
                <w:rFonts w:cstheme="majorHAnsi"/>
                <w:noProof/>
                <w:spacing w:val="-10"/>
              </w:rPr>
              <w:t>3.2</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 Lehrergehälter</w:t>
            </w:r>
            <w:r w:rsidR="00BE3AB6">
              <w:rPr>
                <w:noProof/>
                <w:webHidden/>
              </w:rPr>
              <w:tab/>
            </w:r>
            <w:r w:rsidR="00BE3AB6">
              <w:rPr>
                <w:noProof/>
                <w:webHidden/>
              </w:rPr>
              <w:fldChar w:fldCharType="begin"/>
            </w:r>
            <w:r w:rsidR="00BE3AB6">
              <w:rPr>
                <w:noProof/>
                <w:webHidden/>
              </w:rPr>
              <w:instrText xml:space="preserve"> PAGEREF _Toc191888237 \h </w:instrText>
            </w:r>
            <w:r w:rsidR="00BE3AB6">
              <w:rPr>
                <w:noProof/>
                <w:webHidden/>
              </w:rPr>
            </w:r>
            <w:r w:rsidR="00BE3AB6">
              <w:rPr>
                <w:noProof/>
                <w:webHidden/>
              </w:rPr>
              <w:fldChar w:fldCharType="separate"/>
            </w:r>
            <w:r w:rsidR="00BE3AB6">
              <w:rPr>
                <w:noProof/>
                <w:webHidden/>
              </w:rPr>
              <w:t>7</w:t>
            </w:r>
            <w:r w:rsidR="00BE3AB6">
              <w:rPr>
                <w:noProof/>
                <w:webHidden/>
              </w:rPr>
              <w:fldChar w:fldCharType="end"/>
            </w:r>
          </w:hyperlink>
        </w:p>
        <w:p w14:paraId="65B31C2C" w14:textId="32AD8648"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8" w:history="1">
            <w:r w:rsidR="00BE3AB6" w:rsidRPr="00467D36">
              <w:rPr>
                <w:rStyle w:val="Hyperlink"/>
                <w:rFonts w:cstheme="majorHAnsi"/>
                <w:noProof/>
                <w:spacing w:val="-10"/>
              </w:rPr>
              <w:t>3.3</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 Soziales</w:t>
            </w:r>
            <w:r w:rsidR="00BE3AB6">
              <w:rPr>
                <w:noProof/>
                <w:webHidden/>
              </w:rPr>
              <w:tab/>
            </w:r>
            <w:r w:rsidR="00BE3AB6">
              <w:rPr>
                <w:noProof/>
                <w:webHidden/>
              </w:rPr>
              <w:fldChar w:fldCharType="begin"/>
            </w:r>
            <w:r w:rsidR="00BE3AB6">
              <w:rPr>
                <w:noProof/>
                <w:webHidden/>
              </w:rPr>
              <w:instrText xml:space="preserve"> PAGEREF _Toc191888238 \h </w:instrText>
            </w:r>
            <w:r w:rsidR="00BE3AB6">
              <w:rPr>
                <w:noProof/>
                <w:webHidden/>
              </w:rPr>
            </w:r>
            <w:r w:rsidR="00BE3AB6">
              <w:rPr>
                <w:noProof/>
                <w:webHidden/>
              </w:rPr>
              <w:fldChar w:fldCharType="separate"/>
            </w:r>
            <w:r w:rsidR="00BE3AB6">
              <w:rPr>
                <w:noProof/>
                <w:webHidden/>
              </w:rPr>
              <w:t>8</w:t>
            </w:r>
            <w:r w:rsidR="00BE3AB6">
              <w:rPr>
                <w:noProof/>
                <w:webHidden/>
              </w:rPr>
              <w:fldChar w:fldCharType="end"/>
            </w:r>
          </w:hyperlink>
        </w:p>
        <w:p w14:paraId="234CB2CE" w14:textId="6A358AC0"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39" w:history="1">
            <w:r w:rsidR="00BE3AB6" w:rsidRPr="00467D36">
              <w:rPr>
                <w:rStyle w:val="Hyperlink"/>
                <w:rFonts w:cstheme="majorHAnsi"/>
                <w:noProof/>
                <w:spacing w:val="-10"/>
              </w:rPr>
              <w:t>3.4</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Lastenausgleiche Ergänzungsleistungen zur AHV/IV und Familienzulagen für Nichterwerbstätige (Sozialversicherungen)</w:t>
            </w:r>
            <w:r w:rsidR="00BE3AB6">
              <w:rPr>
                <w:noProof/>
                <w:webHidden/>
              </w:rPr>
              <w:tab/>
            </w:r>
            <w:r w:rsidR="00BE3AB6">
              <w:rPr>
                <w:noProof/>
                <w:webHidden/>
              </w:rPr>
              <w:fldChar w:fldCharType="begin"/>
            </w:r>
            <w:r w:rsidR="00BE3AB6">
              <w:rPr>
                <w:noProof/>
                <w:webHidden/>
              </w:rPr>
              <w:instrText xml:space="preserve"> PAGEREF _Toc191888239 \h </w:instrText>
            </w:r>
            <w:r w:rsidR="00BE3AB6">
              <w:rPr>
                <w:noProof/>
                <w:webHidden/>
              </w:rPr>
            </w:r>
            <w:r w:rsidR="00BE3AB6">
              <w:rPr>
                <w:noProof/>
                <w:webHidden/>
              </w:rPr>
              <w:fldChar w:fldCharType="separate"/>
            </w:r>
            <w:r w:rsidR="00BE3AB6">
              <w:rPr>
                <w:noProof/>
                <w:webHidden/>
              </w:rPr>
              <w:t>8</w:t>
            </w:r>
            <w:r w:rsidR="00BE3AB6">
              <w:rPr>
                <w:noProof/>
                <w:webHidden/>
              </w:rPr>
              <w:fldChar w:fldCharType="end"/>
            </w:r>
          </w:hyperlink>
        </w:p>
        <w:p w14:paraId="5074551D" w14:textId="05C202C1"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0" w:history="1">
            <w:r w:rsidR="00BE3AB6" w:rsidRPr="00467D36">
              <w:rPr>
                <w:rStyle w:val="Hyperlink"/>
                <w:rFonts w:cstheme="majorHAnsi"/>
                <w:noProof/>
                <w:spacing w:val="-10"/>
              </w:rPr>
              <w:t>3.5</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 öffentlicher Verkehr</w:t>
            </w:r>
            <w:r w:rsidR="00BE3AB6">
              <w:rPr>
                <w:noProof/>
                <w:webHidden/>
              </w:rPr>
              <w:tab/>
            </w:r>
            <w:r w:rsidR="00BE3AB6">
              <w:rPr>
                <w:noProof/>
                <w:webHidden/>
              </w:rPr>
              <w:fldChar w:fldCharType="begin"/>
            </w:r>
            <w:r w:rsidR="00BE3AB6">
              <w:rPr>
                <w:noProof/>
                <w:webHidden/>
              </w:rPr>
              <w:instrText xml:space="preserve"> PAGEREF _Toc191888240 \h </w:instrText>
            </w:r>
            <w:r w:rsidR="00BE3AB6">
              <w:rPr>
                <w:noProof/>
                <w:webHidden/>
              </w:rPr>
            </w:r>
            <w:r w:rsidR="00BE3AB6">
              <w:rPr>
                <w:noProof/>
                <w:webHidden/>
              </w:rPr>
              <w:fldChar w:fldCharType="separate"/>
            </w:r>
            <w:r w:rsidR="00BE3AB6">
              <w:rPr>
                <w:noProof/>
                <w:webHidden/>
              </w:rPr>
              <w:t>8</w:t>
            </w:r>
            <w:r w:rsidR="00BE3AB6">
              <w:rPr>
                <w:noProof/>
                <w:webHidden/>
              </w:rPr>
              <w:fldChar w:fldCharType="end"/>
            </w:r>
          </w:hyperlink>
        </w:p>
        <w:p w14:paraId="19F20FEE" w14:textId="436A6305"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1" w:history="1">
            <w:r w:rsidR="00BE3AB6" w:rsidRPr="00467D36">
              <w:rPr>
                <w:rStyle w:val="Hyperlink"/>
                <w:rFonts w:cstheme="majorHAnsi"/>
                <w:noProof/>
                <w:spacing w:val="-10"/>
              </w:rPr>
              <w:t>3.6</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 «neue Aufgabenteilung»</w:t>
            </w:r>
            <w:r w:rsidR="00BE3AB6">
              <w:rPr>
                <w:noProof/>
                <w:webHidden/>
              </w:rPr>
              <w:tab/>
            </w:r>
            <w:r w:rsidR="00BE3AB6">
              <w:rPr>
                <w:noProof/>
                <w:webHidden/>
              </w:rPr>
              <w:fldChar w:fldCharType="begin"/>
            </w:r>
            <w:r w:rsidR="00BE3AB6">
              <w:rPr>
                <w:noProof/>
                <w:webHidden/>
              </w:rPr>
              <w:instrText xml:space="preserve"> PAGEREF _Toc191888241 \h </w:instrText>
            </w:r>
            <w:r w:rsidR="00BE3AB6">
              <w:rPr>
                <w:noProof/>
                <w:webHidden/>
              </w:rPr>
            </w:r>
            <w:r w:rsidR="00BE3AB6">
              <w:rPr>
                <w:noProof/>
                <w:webHidden/>
              </w:rPr>
              <w:fldChar w:fldCharType="separate"/>
            </w:r>
            <w:r w:rsidR="00BE3AB6">
              <w:rPr>
                <w:noProof/>
                <w:webHidden/>
              </w:rPr>
              <w:t>9</w:t>
            </w:r>
            <w:r w:rsidR="00BE3AB6">
              <w:rPr>
                <w:noProof/>
                <w:webHidden/>
              </w:rPr>
              <w:fldChar w:fldCharType="end"/>
            </w:r>
          </w:hyperlink>
        </w:p>
        <w:p w14:paraId="7659E17E" w14:textId="07D75D25"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2" w:history="1">
            <w:r w:rsidR="00BE3AB6" w:rsidRPr="00467D36">
              <w:rPr>
                <w:rStyle w:val="Hyperlink"/>
                <w:rFonts w:cstheme="majorHAnsi"/>
                <w:noProof/>
                <w:spacing w:val="-10"/>
              </w:rPr>
              <w:t>3.7</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Prognose Kostenentwicklung Lastenausgleiche</w:t>
            </w:r>
            <w:r w:rsidR="00BE3AB6">
              <w:rPr>
                <w:noProof/>
                <w:webHidden/>
              </w:rPr>
              <w:tab/>
            </w:r>
            <w:r w:rsidR="00BE3AB6">
              <w:rPr>
                <w:noProof/>
                <w:webHidden/>
              </w:rPr>
              <w:fldChar w:fldCharType="begin"/>
            </w:r>
            <w:r w:rsidR="00BE3AB6">
              <w:rPr>
                <w:noProof/>
                <w:webHidden/>
              </w:rPr>
              <w:instrText xml:space="preserve"> PAGEREF _Toc191888242 \h </w:instrText>
            </w:r>
            <w:r w:rsidR="00BE3AB6">
              <w:rPr>
                <w:noProof/>
                <w:webHidden/>
              </w:rPr>
            </w:r>
            <w:r w:rsidR="00BE3AB6">
              <w:rPr>
                <w:noProof/>
                <w:webHidden/>
              </w:rPr>
              <w:fldChar w:fldCharType="separate"/>
            </w:r>
            <w:r w:rsidR="00BE3AB6">
              <w:rPr>
                <w:noProof/>
                <w:webHidden/>
              </w:rPr>
              <w:t>9</w:t>
            </w:r>
            <w:r w:rsidR="00BE3AB6">
              <w:rPr>
                <w:noProof/>
                <w:webHidden/>
              </w:rPr>
              <w:fldChar w:fldCharType="end"/>
            </w:r>
          </w:hyperlink>
        </w:p>
        <w:p w14:paraId="712C9C47" w14:textId="30CC2C49"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3" w:history="1">
            <w:r w:rsidR="00BE3AB6" w:rsidRPr="00467D36">
              <w:rPr>
                <w:rStyle w:val="Hyperlink"/>
                <w:rFonts w:cstheme="majorHAnsi"/>
                <w:noProof/>
                <w:spacing w:val="-10"/>
              </w:rPr>
              <w:t>3.8</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Lastenausgleichsystem – Anteil des Kantons</w:t>
            </w:r>
            <w:r w:rsidR="00BE3AB6">
              <w:rPr>
                <w:noProof/>
                <w:webHidden/>
              </w:rPr>
              <w:tab/>
            </w:r>
            <w:r w:rsidR="00BE3AB6">
              <w:rPr>
                <w:noProof/>
                <w:webHidden/>
              </w:rPr>
              <w:fldChar w:fldCharType="begin"/>
            </w:r>
            <w:r w:rsidR="00BE3AB6">
              <w:rPr>
                <w:noProof/>
                <w:webHidden/>
              </w:rPr>
              <w:instrText xml:space="preserve"> PAGEREF _Toc191888243 \h </w:instrText>
            </w:r>
            <w:r w:rsidR="00BE3AB6">
              <w:rPr>
                <w:noProof/>
                <w:webHidden/>
              </w:rPr>
            </w:r>
            <w:r w:rsidR="00BE3AB6">
              <w:rPr>
                <w:noProof/>
                <w:webHidden/>
              </w:rPr>
              <w:fldChar w:fldCharType="separate"/>
            </w:r>
            <w:r w:rsidR="00BE3AB6">
              <w:rPr>
                <w:noProof/>
                <w:webHidden/>
              </w:rPr>
              <w:t>10</w:t>
            </w:r>
            <w:r w:rsidR="00BE3AB6">
              <w:rPr>
                <w:noProof/>
                <w:webHidden/>
              </w:rPr>
              <w:fldChar w:fldCharType="end"/>
            </w:r>
          </w:hyperlink>
        </w:p>
        <w:p w14:paraId="57743339" w14:textId="396A9574"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4" w:history="1">
            <w:r w:rsidR="00BE3AB6" w:rsidRPr="00467D36">
              <w:rPr>
                <w:rStyle w:val="Hyperlink"/>
                <w:rFonts w:cstheme="majorHAnsi"/>
                <w:noProof/>
                <w:spacing w:val="-10"/>
              </w:rPr>
              <w:t>3.9</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Entwicklung «Globalbilanz» 2020–2024</w:t>
            </w:r>
            <w:r w:rsidR="00BE3AB6">
              <w:rPr>
                <w:noProof/>
                <w:webHidden/>
              </w:rPr>
              <w:tab/>
            </w:r>
            <w:r w:rsidR="00BE3AB6">
              <w:rPr>
                <w:noProof/>
                <w:webHidden/>
              </w:rPr>
              <w:fldChar w:fldCharType="begin"/>
            </w:r>
            <w:r w:rsidR="00BE3AB6">
              <w:rPr>
                <w:noProof/>
                <w:webHidden/>
              </w:rPr>
              <w:instrText xml:space="preserve"> PAGEREF _Toc191888244 \h </w:instrText>
            </w:r>
            <w:r w:rsidR="00BE3AB6">
              <w:rPr>
                <w:noProof/>
                <w:webHidden/>
              </w:rPr>
            </w:r>
            <w:r w:rsidR="00BE3AB6">
              <w:rPr>
                <w:noProof/>
                <w:webHidden/>
              </w:rPr>
              <w:fldChar w:fldCharType="separate"/>
            </w:r>
            <w:r w:rsidR="00BE3AB6">
              <w:rPr>
                <w:noProof/>
                <w:webHidden/>
              </w:rPr>
              <w:t>11</w:t>
            </w:r>
            <w:r w:rsidR="00BE3AB6">
              <w:rPr>
                <w:noProof/>
                <w:webHidden/>
              </w:rPr>
              <w:fldChar w:fldCharType="end"/>
            </w:r>
          </w:hyperlink>
        </w:p>
        <w:p w14:paraId="1FDDED0C" w14:textId="79CFB7B2"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45" w:history="1">
            <w:r w:rsidR="00BE3AB6" w:rsidRPr="00467D36">
              <w:rPr>
                <w:rStyle w:val="Hyperlink"/>
                <w:rFonts w:cstheme="majorHAnsi"/>
                <w:noProof/>
                <w:spacing w:val="-10"/>
              </w:rPr>
              <w:t>4.</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Analyse nach Gemeindegruppen</w:t>
            </w:r>
            <w:r w:rsidR="00BE3AB6">
              <w:rPr>
                <w:noProof/>
                <w:webHidden/>
              </w:rPr>
              <w:tab/>
            </w:r>
            <w:r w:rsidR="00BE3AB6">
              <w:rPr>
                <w:noProof/>
                <w:webHidden/>
              </w:rPr>
              <w:fldChar w:fldCharType="begin"/>
            </w:r>
            <w:r w:rsidR="00BE3AB6">
              <w:rPr>
                <w:noProof/>
                <w:webHidden/>
              </w:rPr>
              <w:instrText xml:space="preserve"> PAGEREF _Toc191888245 \h </w:instrText>
            </w:r>
            <w:r w:rsidR="00BE3AB6">
              <w:rPr>
                <w:noProof/>
                <w:webHidden/>
              </w:rPr>
            </w:r>
            <w:r w:rsidR="00BE3AB6">
              <w:rPr>
                <w:noProof/>
                <w:webHidden/>
              </w:rPr>
              <w:fldChar w:fldCharType="separate"/>
            </w:r>
            <w:r w:rsidR="00BE3AB6">
              <w:rPr>
                <w:noProof/>
                <w:webHidden/>
              </w:rPr>
              <w:t>13</w:t>
            </w:r>
            <w:r w:rsidR="00BE3AB6">
              <w:rPr>
                <w:noProof/>
                <w:webHidden/>
              </w:rPr>
              <w:fldChar w:fldCharType="end"/>
            </w:r>
          </w:hyperlink>
        </w:p>
        <w:p w14:paraId="1FDBA8F2" w14:textId="5CA4E8E2"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6" w:history="1">
            <w:r w:rsidR="00BE3AB6" w:rsidRPr="00467D36">
              <w:rPr>
                <w:rStyle w:val="Hyperlink"/>
                <w:rFonts w:cstheme="majorHAnsi"/>
                <w:noProof/>
                <w:spacing w:val="-10"/>
              </w:rPr>
              <w:t>4.1</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Analyse nach verschiedenen Gemeindegruppen</w:t>
            </w:r>
            <w:r w:rsidR="00BE3AB6">
              <w:rPr>
                <w:noProof/>
                <w:webHidden/>
              </w:rPr>
              <w:tab/>
            </w:r>
            <w:r w:rsidR="00BE3AB6">
              <w:rPr>
                <w:noProof/>
                <w:webHidden/>
              </w:rPr>
              <w:fldChar w:fldCharType="begin"/>
            </w:r>
            <w:r w:rsidR="00BE3AB6">
              <w:rPr>
                <w:noProof/>
                <w:webHidden/>
              </w:rPr>
              <w:instrText xml:space="preserve"> PAGEREF _Toc191888246 \h </w:instrText>
            </w:r>
            <w:r w:rsidR="00BE3AB6">
              <w:rPr>
                <w:noProof/>
                <w:webHidden/>
              </w:rPr>
            </w:r>
            <w:r w:rsidR="00BE3AB6">
              <w:rPr>
                <w:noProof/>
                <w:webHidden/>
              </w:rPr>
              <w:fldChar w:fldCharType="separate"/>
            </w:r>
            <w:r w:rsidR="00BE3AB6">
              <w:rPr>
                <w:noProof/>
                <w:webHidden/>
              </w:rPr>
              <w:t>13</w:t>
            </w:r>
            <w:r w:rsidR="00BE3AB6">
              <w:rPr>
                <w:noProof/>
                <w:webHidden/>
              </w:rPr>
              <w:fldChar w:fldCharType="end"/>
            </w:r>
          </w:hyperlink>
        </w:p>
        <w:p w14:paraId="48ED1F9C" w14:textId="47DB1C93"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7" w:history="1">
            <w:r w:rsidR="00BE3AB6" w:rsidRPr="00467D36">
              <w:rPr>
                <w:rStyle w:val="Hyperlink"/>
                <w:rFonts w:cstheme="majorHAnsi"/>
                <w:noProof/>
                <w:spacing w:val="-10"/>
              </w:rPr>
              <w:t>4.2</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Analyse nach HEI 2019–2023</w:t>
            </w:r>
            <w:r w:rsidR="00BE3AB6">
              <w:rPr>
                <w:noProof/>
                <w:webHidden/>
              </w:rPr>
              <w:tab/>
            </w:r>
            <w:r w:rsidR="00BE3AB6">
              <w:rPr>
                <w:noProof/>
                <w:webHidden/>
              </w:rPr>
              <w:fldChar w:fldCharType="begin"/>
            </w:r>
            <w:r w:rsidR="00BE3AB6">
              <w:rPr>
                <w:noProof/>
                <w:webHidden/>
              </w:rPr>
              <w:instrText xml:space="preserve"> PAGEREF _Toc191888247 \h </w:instrText>
            </w:r>
            <w:r w:rsidR="00BE3AB6">
              <w:rPr>
                <w:noProof/>
                <w:webHidden/>
              </w:rPr>
            </w:r>
            <w:r w:rsidR="00BE3AB6">
              <w:rPr>
                <w:noProof/>
                <w:webHidden/>
              </w:rPr>
              <w:fldChar w:fldCharType="separate"/>
            </w:r>
            <w:r w:rsidR="00BE3AB6">
              <w:rPr>
                <w:noProof/>
                <w:webHidden/>
              </w:rPr>
              <w:t>13</w:t>
            </w:r>
            <w:r w:rsidR="00BE3AB6">
              <w:rPr>
                <w:noProof/>
                <w:webHidden/>
              </w:rPr>
              <w:fldChar w:fldCharType="end"/>
            </w:r>
          </w:hyperlink>
        </w:p>
        <w:p w14:paraId="4BE27964" w14:textId="7D66EC27"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8" w:history="1">
            <w:r w:rsidR="00BE3AB6" w:rsidRPr="00467D36">
              <w:rPr>
                <w:rStyle w:val="Hyperlink"/>
                <w:rFonts w:cstheme="majorHAnsi"/>
                <w:noProof/>
                <w:spacing w:val="-10"/>
              </w:rPr>
              <w:t>4.3</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Analyse nach Gemeindesteueranlagen 2020 bis 2023</w:t>
            </w:r>
            <w:r w:rsidR="00BE3AB6">
              <w:rPr>
                <w:noProof/>
                <w:webHidden/>
              </w:rPr>
              <w:tab/>
            </w:r>
            <w:r w:rsidR="00BE3AB6">
              <w:rPr>
                <w:noProof/>
                <w:webHidden/>
              </w:rPr>
              <w:fldChar w:fldCharType="begin"/>
            </w:r>
            <w:r w:rsidR="00BE3AB6">
              <w:rPr>
                <w:noProof/>
                <w:webHidden/>
              </w:rPr>
              <w:instrText xml:space="preserve"> PAGEREF _Toc191888248 \h </w:instrText>
            </w:r>
            <w:r w:rsidR="00BE3AB6">
              <w:rPr>
                <w:noProof/>
                <w:webHidden/>
              </w:rPr>
            </w:r>
            <w:r w:rsidR="00BE3AB6">
              <w:rPr>
                <w:noProof/>
                <w:webHidden/>
              </w:rPr>
              <w:fldChar w:fldCharType="separate"/>
            </w:r>
            <w:r w:rsidR="00BE3AB6">
              <w:rPr>
                <w:noProof/>
                <w:webHidden/>
              </w:rPr>
              <w:t>14</w:t>
            </w:r>
            <w:r w:rsidR="00BE3AB6">
              <w:rPr>
                <w:noProof/>
                <w:webHidden/>
              </w:rPr>
              <w:fldChar w:fldCharType="end"/>
            </w:r>
          </w:hyperlink>
        </w:p>
        <w:p w14:paraId="4A57C360" w14:textId="56907680"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49" w:history="1">
            <w:r w:rsidR="00BE3AB6" w:rsidRPr="00467D36">
              <w:rPr>
                <w:rStyle w:val="Hyperlink"/>
                <w:rFonts w:cstheme="majorHAnsi"/>
                <w:noProof/>
                <w:spacing w:val="-10"/>
              </w:rPr>
              <w:t>4.4</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Fazit</w:t>
            </w:r>
            <w:r w:rsidR="00BE3AB6">
              <w:rPr>
                <w:noProof/>
                <w:webHidden/>
              </w:rPr>
              <w:tab/>
            </w:r>
            <w:r w:rsidR="00BE3AB6">
              <w:rPr>
                <w:noProof/>
                <w:webHidden/>
              </w:rPr>
              <w:fldChar w:fldCharType="begin"/>
            </w:r>
            <w:r w:rsidR="00BE3AB6">
              <w:rPr>
                <w:noProof/>
                <w:webHidden/>
              </w:rPr>
              <w:instrText xml:space="preserve"> PAGEREF _Toc191888249 \h </w:instrText>
            </w:r>
            <w:r w:rsidR="00BE3AB6">
              <w:rPr>
                <w:noProof/>
                <w:webHidden/>
              </w:rPr>
            </w:r>
            <w:r w:rsidR="00BE3AB6">
              <w:rPr>
                <w:noProof/>
                <w:webHidden/>
              </w:rPr>
              <w:fldChar w:fldCharType="separate"/>
            </w:r>
            <w:r w:rsidR="00BE3AB6">
              <w:rPr>
                <w:noProof/>
                <w:webHidden/>
              </w:rPr>
              <w:t>14</w:t>
            </w:r>
            <w:r w:rsidR="00BE3AB6">
              <w:rPr>
                <w:noProof/>
                <w:webHidden/>
              </w:rPr>
              <w:fldChar w:fldCharType="end"/>
            </w:r>
          </w:hyperlink>
        </w:p>
        <w:p w14:paraId="23EF0FBF" w14:textId="7A994640"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50" w:history="1">
            <w:r w:rsidR="00BE3AB6" w:rsidRPr="00467D36">
              <w:rPr>
                <w:rStyle w:val="Hyperlink"/>
                <w:rFonts w:cstheme="majorHAnsi"/>
                <w:noProof/>
                <w:spacing w:val="-10"/>
              </w:rPr>
              <w:t>4.5</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Entwicklung Steueranlagen Gemeinden</w:t>
            </w:r>
            <w:r w:rsidR="00BE3AB6">
              <w:rPr>
                <w:noProof/>
                <w:webHidden/>
              </w:rPr>
              <w:tab/>
            </w:r>
            <w:r w:rsidR="00BE3AB6">
              <w:rPr>
                <w:noProof/>
                <w:webHidden/>
              </w:rPr>
              <w:fldChar w:fldCharType="begin"/>
            </w:r>
            <w:r w:rsidR="00BE3AB6">
              <w:rPr>
                <w:noProof/>
                <w:webHidden/>
              </w:rPr>
              <w:instrText xml:space="preserve"> PAGEREF _Toc191888250 \h </w:instrText>
            </w:r>
            <w:r w:rsidR="00BE3AB6">
              <w:rPr>
                <w:noProof/>
                <w:webHidden/>
              </w:rPr>
            </w:r>
            <w:r w:rsidR="00BE3AB6">
              <w:rPr>
                <w:noProof/>
                <w:webHidden/>
              </w:rPr>
              <w:fldChar w:fldCharType="separate"/>
            </w:r>
            <w:r w:rsidR="00BE3AB6">
              <w:rPr>
                <w:noProof/>
                <w:webHidden/>
              </w:rPr>
              <w:t>14</w:t>
            </w:r>
            <w:r w:rsidR="00BE3AB6">
              <w:rPr>
                <w:noProof/>
                <w:webHidden/>
              </w:rPr>
              <w:fldChar w:fldCharType="end"/>
            </w:r>
          </w:hyperlink>
        </w:p>
        <w:p w14:paraId="253BCC02" w14:textId="5BC8AFA7"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51" w:history="1">
            <w:r w:rsidR="00BE3AB6" w:rsidRPr="00467D36">
              <w:rPr>
                <w:rStyle w:val="Hyperlink"/>
                <w:rFonts w:cstheme="majorHAnsi"/>
                <w:noProof/>
                <w:spacing w:val="-10"/>
              </w:rPr>
              <w:t>4.6</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Entwicklung Steuereinnahmen der Gemeinden</w:t>
            </w:r>
            <w:r w:rsidR="00BE3AB6">
              <w:rPr>
                <w:noProof/>
                <w:webHidden/>
              </w:rPr>
              <w:tab/>
            </w:r>
            <w:r w:rsidR="00BE3AB6">
              <w:rPr>
                <w:noProof/>
                <w:webHidden/>
              </w:rPr>
              <w:fldChar w:fldCharType="begin"/>
            </w:r>
            <w:r w:rsidR="00BE3AB6">
              <w:rPr>
                <w:noProof/>
                <w:webHidden/>
              </w:rPr>
              <w:instrText xml:space="preserve"> PAGEREF _Toc191888251 \h </w:instrText>
            </w:r>
            <w:r w:rsidR="00BE3AB6">
              <w:rPr>
                <w:noProof/>
                <w:webHidden/>
              </w:rPr>
            </w:r>
            <w:r w:rsidR="00BE3AB6">
              <w:rPr>
                <w:noProof/>
                <w:webHidden/>
              </w:rPr>
              <w:fldChar w:fldCharType="separate"/>
            </w:r>
            <w:r w:rsidR="00BE3AB6">
              <w:rPr>
                <w:noProof/>
                <w:webHidden/>
              </w:rPr>
              <w:t>15</w:t>
            </w:r>
            <w:r w:rsidR="00BE3AB6">
              <w:rPr>
                <w:noProof/>
                <w:webHidden/>
              </w:rPr>
              <w:fldChar w:fldCharType="end"/>
            </w:r>
          </w:hyperlink>
        </w:p>
        <w:p w14:paraId="020E365B" w14:textId="008EC834" w:rsidR="00BE3AB6" w:rsidRDefault="000D6EF6">
          <w:pPr>
            <w:pStyle w:val="Verzeichnis2"/>
            <w:rPr>
              <w:rFonts w:eastAsiaTheme="minorEastAsia" w:cstheme="minorBidi"/>
              <w:bCs w:val="0"/>
              <w:noProof/>
              <w:spacing w:val="0"/>
              <w:kern w:val="2"/>
              <w:sz w:val="24"/>
              <w:szCs w:val="24"/>
              <w:lang w:eastAsia="de-CH"/>
              <w14:ligatures w14:val="standardContextual"/>
            </w:rPr>
          </w:pPr>
          <w:hyperlink w:anchor="_Toc191888252" w:history="1">
            <w:r w:rsidR="00BE3AB6" w:rsidRPr="00467D36">
              <w:rPr>
                <w:rStyle w:val="Hyperlink"/>
                <w:rFonts w:cstheme="majorHAnsi"/>
                <w:noProof/>
                <w:spacing w:val="-10"/>
              </w:rPr>
              <w:t>4.7</w:t>
            </w:r>
            <w:r w:rsidR="00BE3AB6">
              <w:rPr>
                <w:rFonts w:eastAsiaTheme="minorEastAsia" w:cstheme="minorBidi"/>
                <w:bCs w:val="0"/>
                <w:noProof/>
                <w:spacing w:val="0"/>
                <w:kern w:val="2"/>
                <w:sz w:val="24"/>
                <w:szCs w:val="24"/>
                <w:lang w:eastAsia="de-CH"/>
                <w14:ligatures w14:val="standardContextual"/>
              </w:rPr>
              <w:tab/>
            </w:r>
            <w:r w:rsidR="00BE3AB6" w:rsidRPr="00467D36">
              <w:rPr>
                <w:rStyle w:val="Hyperlink"/>
                <w:rFonts w:cstheme="majorHAnsi"/>
                <w:noProof/>
              </w:rPr>
              <w:t>Rechnungsergebnisse der Gemeinden 2023 – ein Überblick</w:t>
            </w:r>
            <w:r w:rsidR="00BE3AB6">
              <w:rPr>
                <w:noProof/>
                <w:webHidden/>
              </w:rPr>
              <w:tab/>
            </w:r>
            <w:r w:rsidR="00BE3AB6">
              <w:rPr>
                <w:noProof/>
                <w:webHidden/>
              </w:rPr>
              <w:fldChar w:fldCharType="begin"/>
            </w:r>
            <w:r w:rsidR="00BE3AB6">
              <w:rPr>
                <w:noProof/>
                <w:webHidden/>
              </w:rPr>
              <w:instrText xml:space="preserve"> PAGEREF _Toc191888252 \h </w:instrText>
            </w:r>
            <w:r w:rsidR="00BE3AB6">
              <w:rPr>
                <w:noProof/>
                <w:webHidden/>
              </w:rPr>
            </w:r>
            <w:r w:rsidR="00BE3AB6">
              <w:rPr>
                <w:noProof/>
                <w:webHidden/>
              </w:rPr>
              <w:fldChar w:fldCharType="separate"/>
            </w:r>
            <w:r w:rsidR="00BE3AB6">
              <w:rPr>
                <w:noProof/>
                <w:webHidden/>
              </w:rPr>
              <w:t>16</w:t>
            </w:r>
            <w:r w:rsidR="00BE3AB6">
              <w:rPr>
                <w:noProof/>
                <w:webHidden/>
              </w:rPr>
              <w:fldChar w:fldCharType="end"/>
            </w:r>
          </w:hyperlink>
        </w:p>
        <w:p w14:paraId="7647FB6D" w14:textId="13F70A63"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53" w:history="1">
            <w:r w:rsidR="00BE3AB6" w:rsidRPr="00467D36">
              <w:rPr>
                <w:rStyle w:val="Hyperlink"/>
                <w:rFonts w:cstheme="majorHAnsi"/>
                <w:noProof/>
                <w:spacing w:val="-10"/>
              </w:rPr>
              <w:t>5.</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Zusammenfassung und Schlussfolgerung</w:t>
            </w:r>
            <w:r w:rsidR="00BE3AB6">
              <w:rPr>
                <w:noProof/>
                <w:webHidden/>
              </w:rPr>
              <w:tab/>
            </w:r>
            <w:r w:rsidR="00BE3AB6">
              <w:rPr>
                <w:noProof/>
                <w:webHidden/>
              </w:rPr>
              <w:fldChar w:fldCharType="begin"/>
            </w:r>
            <w:r w:rsidR="00BE3AB6">
              <w:rPr>
                <w:noProof/>
                <w:webHidden/>
              </w:rPr>
              <w:instrText xml:space="preserve"> PAGEREF _Toc191888253 \h </w:instrText>
            </w:r>
            <w:r w:rsidR="00BE3AB6">
              <w:rPr>
                <w:noProof/>
                <w:webHidden/>
              </w:rPr>
            </w:r>
            <w:r w:rsidR="00BE3AB6">
              <w:rPr>
                <w:noProof/>
                <w:webHidden/>
              </w:rPr>
              <w:fldChar w:fldCharType="separate"/>
            </w:r>
            <w:r w:rsidR="00BE3AB6">
              <w:rPr>
                <w:noProof/>
                <w:webHidden/>
              </w:rPr>
              <w:t>17</w:t>
            </w:r>
            <w:r w:rsidR="00BE3AB6">
              <w:rPr>
                <w:noProof/>
                <w:webHidden/>
              </w:rPr>
              <w:fldChar w:fldCharType="end"/>
            </w:r>
          </w:hyperlink>
        </w:p>
        <w:p w14:paraId="4285718C" w14:textId="2F7476C3"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54" w:history="1">
            <w:r w:rsidR="00BE3AB6" w:rsidRPr="00467D36">
              <w:rPr>
                <w:rStyle w:val="Hyperlink"/>
                <w:rFonts w:cstheme="majorHAnsi"/>
                <w:noProof/>
              </w:rPr>
              <w:t>Anhang 1:</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Rechtsgrundlagen</w:t>
            </w:r>
            <w:r w:rsidR="00BE3AB6">
              <w:rPr>
                <w:noProof/>
                <w:webHidden/>
              </w:rPr>
              <w:tab/>
            </w:r>
            <w:r w:rsidR="00BE3AB6">
              <w:rPr>
                <w:noProof/>
                <w:webHidden/>
              </w:rPr>
              <w:fldChar w:fldCharType="begin"/>
            </w:r>
            <w:r w:rsidR="00BE3AB6">
              <w:rPr>
                <w:noProof/>
                <w:webHidden/>
              </w:rPr>
              <w:instrText xml:space="preserve"> PAGEREF _Toc191888254 \h </w:instrText>
            </w:r>
            <w:r w:rsidR="00BE3AB6">
              <w:rPr>
                <w:noProof/>
                <w:webHidden/>
              </w:rPr>
            </w:r>
            <w:r w:rsidR="00BE3AB6">
              <w:rPr>
                <w:noProof/>
                <w:webHidden/>
              </w:rPr>
              <w:fldChar w:fldCharType="separate"/>
            </w:r>
            <w:r w:rsidR="00BE3AB6">
              <w:rPr>
                <w:noProof/>
                <w:webHidden/>
              </w:rPr>
              <w:t>18</w:t>
            </w:r>
            <w:r w:rsidR="00BE3AB6">
              <w:rPr>
                <w:noProof/>
                <w:webHidden/>
              </w:rPr>
              <w:fldChar w:fldCharType="end"/>
            </w:r>
          </w:hyperlink>
        </w:p>
        <w:p w14:paraId="1461D676" w14:textId="3B3DC442" w:rsidR="00BE3AB6" w:rsidRDefault="000D6EF6">
          <w:pPr>
            <w:pStyle w:val="Verzeichnis1"/>
            <w:rPr>
              <w:rFonts w:eastAsiaTheme="minorEastAsia" w:cstheme="minorBidi"/>
              <w:b w:val="0"/>
              <w:bCs w:val="0"/>
              <w:noProof/>
              <w:spacing w:val="0"/>
              <w:kern w:val="2"/>
              <w:sz w:val="24"/>
              <w:szCs w:val="24"/>
              <w:lang w:eastAsia="de-CH"/>
              <w14:ligatures w14:val="standardContextual"/>
            </w:rPr>
          </w:pPr>
          <w:hyperlink w:anchor="_Toc191888255" w:history="1">
            <w:r w:rsidR="00BE3AB6" w:rsidRPr="00467D36">
              <w:rPr>
                <w:rStyle w:val="Hyperlink"/>
                <w:rFonts w:cstheme="majorHAnsi"/>
                <w:noProof/>
              </w:rPr>
              <w:t>Anhang 2:</w:t>
            </w:r>
            <w:r w:rsidR="00BE3AB6">
              <w:rPr>
                <w:rFonts w:eastAsiaTheme="minorEastAsia" w:cstheme="minorBidi"/>
                <w:b w:val="0"/>
                <w:bCs w:val="0"/>
                <w:noProof/>
                <w:spacing w:val="0"/>
                <w:kern w:val="2"/>
                <w:sz w:val="24"/>
                <w:szCs w:val="24"/>
                <w:lang w:eastAsia="de-CH"/>
                <w14:ligatures w14:val="standardContextual"/>
              </w:rPr>
              <w:tab/>
            </w:r>
            <w:r w:rsidR="00BE3AB6" w:rsidRPr="00467D36">
              <w:rPr>
                <w:rStyle w:val="Hyperlink"/>
                <w:rFonts w:cstheme="majorHAnsi"/>
                <w:noProof/>
              </w:rPr>
              <w:t>Übersicht der Grundlagen für die Feinsteuerung des FILAG</w:t>
            </w:r>
            <w:r w:rsidR="00BE3AB6">
              <w:rPr>
                <w:noProof/>
                <w:webHidden/>
              </w:rPr>
              <w:tab/>
            </w:r>
            <w:r w:rsidR="00BE3AB6">
              <w:rPr>
                <w:noProof/>
                <w:webHidden/>
              </w:rPr>
              <w:fldChar w:fldCharType="begin"/>
            </w:r>
            <w:r w:rsidR="00BE3AB6">
              <w:rPr>
                <w:noProof/>
                <w:webHidden/>
              </w:rPr>
              <w:instrText xml:space="preserve"> PAGEREF _Toc191888255 \h </w:instrText>
            </w:r>
            <w:r w:rsidR="00BE3AB6">
              <w:rPr>
                <w:noProof/>
                <w:webHidden/>
              </w:rPr>
            </w:r>
            <w:r w:rsidR="00BE3AB6">
              <w:rPr>
                <w:noProof/>
                <w:webHidden/>
              </w:rPr>
              <w:fldChar w:fldCharType="separate"/>
            </w:r>
            <w:r w:rsidR="00BE3AB6">
              <w:rPr>
                <w:noProof/>
                <w:webHidden/>
              </w:rPr>
              <w:t>21</w:t>
            </w:r>
            <w:r w:rsidR="00BE3AB6">
              <w:rPr>
                <w:noProof/>
                <w:webHidden/>
              </w:rPr>
              <w:fldChar w:fldCharType="end"/>
            </w:r>
          </w:hyperlink>
        </w:p>
        <w:p w14:paraId="636527FC" w14:textId="086D351A" w:rsidR="003F70F2" w:rsidRPr="00A5344E" w:rsidRDefault="0038719B" w:rsidP="00E479C7">
          <w:pPr>
            <w:rPr>
              <w:rFonts w:asciiTheme="majorHAnsi" w:hAnsiTheme="majorHAnsi" w:cstheme="majorHAnsi"/>
              <w:b/>
              <w:bCs w:val="0"/>
            </w:rPr>
          </w:pPr>
          <w:r w:rsidRPr="00A5344E">
            <w:rPr>
              <w:rFonts w:asciiTheme="majorHAnsi" w:hAnsiTheme="majorHAnsi" w:cstheme="majorHAnsi"/>
              <w:b/>
              <w:bCs w:val="0"/>
            </w:rPr>
            <w:fldChar w:fldCharType="end"/>
          </w:r>
        </w:p>
      </w:sdtContent>
    </w:sdt>
    <w:p w14:paraId="0EB9BA38" w14:textId="77777777" w:rsidR="004E4BBE" w:rsidRPr="00A5344E" w:rsidRDefault="004E4BBE" w:rsidP="003F70F2">
      <w:pPr>
        <w:rPr>
          <w:rFonts w:asciiTheme="majorHAnsi" w:hAnsiTheme="majorHAnsi" w:cstheme="majorHAnsi"/>
        </w:rPr>
      </w:pPr>
    </w:p>
    <w:p w14:paraId="28CFBFB9" w14:textId="77777777" w:rsidR="004E4BBE" w:rsidRPr="00A5344E" w:rsidRDefault="004E4BBE" w:rsidP="003F70F2">
      <w:pPr>
        <w:rPr>
          <w:rFonts w:asciiTheme="majorHAnsi" w:hAnsiTheme="majorHAnsi" w:cstheme="majorHAnsi"/>
        </w:rPr>
      </w:pPr>
    </w:p>
    <w:p w14:paraId="0B449BD7" w14:textId="186257CE" w:rsidR="004E4BBE" w:rsidRPr="00A5344E" w:rsidRDefault="004E4BBE" w:rsidP="004E4BBE">
      <w:pPr>
        <w:rPr>
          <w:rFonts w:asciiTheme="majorHAnsi" w:hAnsiTheme="majorHAnsi" w:cstheme="majorHAnsi"/>
        </w:rPr>
      </w:pPr>
      <w:r w:rsidRPr="00A5344E">
        <w:rPr>
          <w:rFonts w:asciiTheme="majorHAnsi" w:eastAsiaTheme="majorEastAsia" w:hAnsiTheme="majorHAnsi" w:cstheme="majorHAnsi"/>
          <w:b/>
          <w:bCs w:val="0"/>
          <w:szCs w:val="21"/>
        </w:rPr>
        <w:t xml:space="preserve">Das Wichtigste </w:t>
      </w:r>
      <w:r w:rsidR="00D21982" w:rsidRPr="00A5344E">
        <w:rPr>
          <w:rFonts w:asciiTheme="majorHAnsi" w:eastAsiaTheme="majorEastAsia" w:hAnsiTheme="majorHAnsi" w:cstheme="majorHAnsi"/>
          <w:b/>
          <w:bCs w:val="0"/>
          <w:szCs w:val="21"/>
        </w:rPr>
        <w:t>in Kürze</w:t>
      </w:r>
    </w:p>
    <w:p w14:paraId="621B3961" w14:textId="08335A37" w:rsidR="004E4BBE" w:rsidRPr="00A5344E" w:rsidRDefault="000E40A9" w:rsidP="004E4BBE">
      <w:pPr>
        <w:rPr>
          <w:rFonts w:asciiTheme="majorHAnsi" w:hAnsiTheme="majorHAnsi" w:cstheme="majorHAnsi"/>
        </w:rPr>
      </w:pPr>
      <w:r>
        <w:rPr>
          <w:rFonts w:asciiTheme="majorHAnsi" w:hAnsiTheme="majorHAnsi" w:cstheme="majorHAnsi"/>
        </w:rPr>
        <w:t xml:space="preserve">Das </w:t>
      </w:r>
      <w:r w:rsidR="004E4BBE" w:rsidRPr="00A5344E">
        <w:rPr>
          <w:rFonts w:asciiTheme="majorHAnsi" w:hAnsiTheme="majorHAnsi" w:cstheme="majorHAnsi"/>
        </w:rPr>
        <w:t xml:space="preserve">Gesetz vom 27. November 2000 über den Finanz- und Lastenausgleich (FILAG; BSG 631.1) </w:t>
      </w:r>
      <w:r w:rsidR="006725BB">
        <w:rPr>
          <w:rFonts w:asciiTheme="majorHAnsi" w:hAnsiTheme="majorHAnsi" w:cstheme="majorHAnsi"/>
        </w:rPr>
        <w:t>bezweckt</w:t>
      </w:r>
      <w:r w:rsidR="006208C2">
        <w:rPr>
          <w:rFonts w:asciiTheme="majorHAnsi" w:hAnsiTheme="majorHAnsi" w:cstheme="majorHAnsi"/>
        </w:rPr>
        <w:t>:</w:t>
      </w:r>
    </w:p>
    <w:p w14:paraId="497539DF" w14:textId="4C1DBD7F"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rPr>
        <w:t xml:space="preserve">die Unterschiede in der finanziellen Leistungsfähigkeit und in der Belastung der Gemeinden </w:t>
      </w:r>
      <w:r w:rsidR="006725BB">
        <w:rPr>
          <w:rFonts w:asciiTheme="majorHAnsi" w:hAnsiTheme="majorHAnsi" w:cstheme="majorHAnsi"/>
        </w:rPr>
        <w:t xml:space="preserve">zu </w:t>
      </w:r>
      <w:r w:rsidRPr="00A5344E">
        <w:rPr>
          <w:rFonts w:asciiTheme="majorHAnsi" w:hAnsiTheme="majorHAnsi" w:cstheme="majorHAnsi"/>
        </w:rPr>
        <w:t>mildern und</w:t>
      </w:r>
    </w:p>
    <w:p w14:paraId="3139EE9D" w14:textId="0288E90B"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rPr>
        <w:t>ausgewogene Verhältnisse in der Steuerbelastung an</w:t>
      </w:r>
      <w:r w:rsidR="006725BB">
        <w:rPr>
          <w:rFonts w:asciiTheme="majorHAnsi" w:hAnsiTheme="majorHAnsi" w:cstheme="majorHAnsi"/>
        </w:rPr>
        <w:t>zu</w:t>
      </w:r>
      <w:r w:rsidR="000E40A9">
        <w:rPr>
          <w:rFonts w:asciiTheme="majorHAnsi" w:hAnsiTheme="majorHAnsi" w:cstheme="majorHAnsi"/>
        </w:rPr>
        <w:t>streben.</w:t>
      </w:r>
    </w:p>
    <w:p w14:paraId="1683C545" w14:textId="77777777" w:rsidR="004E4BBE" w:rsidRPr="00A5344E" w:rsidRDefault="004E4BBE" w:rsidP="004E4BBE">
      <w:pPr>
        <w:rPr>
          <w:rFonts w:asciiTheme="majorHAnsi" w:hAnsiTheme="majorHAnsi" w:cstheme="majorHAnsi"/>
        </w:rPr>
      </w:pPr>
    </w:p>
    <w:p w14:paraId="5FD2644B" w14:textId="309C47BC" w:rsidR="004E4BBE" w:rsidRPr="00A5344E" w:rsidRDefault="000E40A9" w:rsidP="003F70F2">
      <w:pPr>
        <w:rPr>
          <w:rFonts w:asciiTheme="majorHAnsi" w:hAnsiTheme="majorHAnsi" w:cstheme="majorHAnsi"/>
        </w:rPr>
      </w:pPr>
      <w:r w:rsidRPr="00A5344E">
        <w:rPr>
          <w:rFonts w:asciiTheme="majorHAnsi" w:hAnsiTheme="majorHAnsi" w:cstheme="majorHAnsi"/>
        </w:rPr>
        <w:t xml:space="preserve">Die Ergebnisse der Laufenden Analyse 2024 des </w:t>
      </w:r>
      <w:r>
        <w:rPr>
          <w:rFonts w:asciiTheme="majorHAnsi" w:hAnsiTheme="majorHAnsi" w:cstheme="majorHAnsi"/>
        </w:rPr>
        <w:t xml:space="preserve">FILAG zeigen, dass diese Zielsetzungen </w:t>
      </w:r>
      <w:r w:rsidR="00F4725C" w:rsidRPr="00A5344E">
        <w:rPr>
          <w:rFonts w:asciiTheme="majorHAnsi" w:hAnsiTheme="majorHAnsi" w:cstheme="majorHAnsi"/>
        </w:rPr>
        <w:t>i</w:t>
      </w:r>
      <w:r w:rsidR="004E4BBE" w:rsidRPr="00A5344E">
        <w:rPr>
          <w:rFonts w:asciiTheme="majorHAnsi" w:hAnsiTheme="majorHAnsi" w:cstheme="majorHAnsi"/>
        </w:rPr>
        <w:t>m Zeitraum 20</w:t>
      </w:r>
      <w:r w:rsidR="00984F56" w:rsidRPr="00A5344E">
        <w:rPr>
          <w:rFonts w:asciiTheme="majorHAnsi" w:hAnsiTheme="majorHAnsi" w:cstheme="majorHAnsi"/>
        </w:rPr>
        <w:t>20</w:t>
      </w:r>
      <w:r w:rsidR="004E4BBE" w:rsidRPr="00A5344E">
        <w:rPr>
          <w:rFonts w:asciiTheme="majorHAnsi" w:hAnsiTheme="majorHAnsi" w:cstheme="majorHAnsi"/>
        </w:rPr>
        <w:t xml:space="preserve"> bis 2024 grundsätzlich erreicht werden konnten. Demzufolge besteht im Moment aus Sicht der Finanzverwaltung für die Feinsteuerung des FILAG durch den Regierungsrat kein unmittelbarer Handlungsbedarf.</w:t>
      </w:r>
    </w:p>
    <w:p w14:paraId="7EF5A0DC" w14:textId="77777777" w:rsidR="00984F56" w:rsidRPr="00A5344E" w:rsidRDefault="00984F56" w:rsidP="003F70F2">
      <w:pPr>
        <w:rPr>
          <w:rFonts w:asciiTheme="majorHAnsi" w:hAnsiTheme="majorHAnsi" w:cstheme="majorHAnsi"/>
        </w:rPr>
      </w:pPr>
    </w:p>
    <w:p w14:paraId="586A574B" w14:textId="42FF865D" w:rsidR="004E4BBE" w:rsidRPr="00A5344E" w:rsidRDefault="0038719B" w:rsidP="003F70F2">
      <w:pPr>
        <w:rPr>
          <w:rFonts w:asciiTheme="majorHAnsi" w:hAnsiTheme="majorHAnsi" w:cstheme="majorHAnsi"/>
        </w:rPr>
      </w:pPr>
      <w:r w:rsidRPr="00A5344E">
        <w:rPr>
          <w:rFonts w:asciiTheme="majorHAnsi" w:hAnsiTheme="majorHAnsi" w:cstheme="majorHAnsi"/>
        </w:rPr>
        <w:br w:type="page"/>
      </w:r>
    </w:p>
    <w:p w14:paraId="6DF3836C" w14:textId="77777777" w:rsidR="004E4BBE" w:rsidRPr="00A5344E" w:rsidRDefault="004E4BBE" w:rsidP="004E4BBE">
      <w:pPr>
        <w:pStyle w:val="H1"/>
        <w:rPr>
          <w:rFonts w:cstheme="majorHAnsi"/>
        </w:rPr>
      </w:pPr>
      <w:bookmarkStart w:id="1" w:name="_Toc191888228"/>
      <w:bookmarkStart w:id="2" w:name="_Toc14859777"/>
      <w:r w:rsidRPr="00A5344E">
        <w:rPr>
          <w:rFonts w:cstheme="majorHAnsi"/>
        </w:rPr>
        <w:lastRenderedPageBreak/>
        <w:t>Laufende Analyse 2024</w:t>
      </w:r>
      <w:bookmarkEnd w:id="1"/>
    </w:p>
    <w:p w14:paraId="78EC5949" w14:textId="77777777" w:rsidR="004E4BBE" w:rsidRPr="00A5344E" w:rsidRDefault="004E4BBE" w:rsidP="004E4BBE">
      <w:pPr>
        <w:pStyle w:val="berschrift2nummeriert"/>
        <w:rPr>
          <w:rFonts w:cstheme="majorHAnsi"/>
        </w:rPr>
      </w:pPr>
      <w:bookmarkStart w:id="3" w:name="_Toc191888229"/>
      <w:r w:rsidRPr="00A5344E">
        <w:rPr>
          <w:rFonts w:cstheme="majorHAnsi"/>
        </w:rPr>
        <w:t>Hintergrund</w:t>
      </w:r>
      <w:bookmarkEnd w:id="3"/>
    </w:p>
    <w:p w14:paraId="271B2F4E" w14:textId="0F6B70A8" w:rsidR="004E4BBE" w:rsidRPr="00D34538" w:rsidRDefault="004E4BBE" w:rsidP="00D34538">
      <w:pPr>
        <w:pStyle w:val="Textkrper"/>
        <w:spacing w:line="270" w:lineRule="atLeast"/>
        <w:rPr>
          <w:rFonts w:asciiTheme="majorHAnsi" w:hAnsiTheme="majorHAnsi" w:cstheme="majorHAnsi"/>
          <w:lang w:val="de-CH"/>
        </w:rPr>
      </w:pPr>
      <w:r w:rsidRPr="00D34538">
        <w:rPr>
          <w:rFonts w:asciiTheme="majorHAnsi" w:hAnsiTheme="majorHAnsi" w:cstheme="majorHAnsi"/>
          <w:lang w:val="de-CH"/>
        </w:rPr>
        <w:t xml:space="preserve">Das Gesetz über den Finanz- und Lastenausgleich (FILAG) bezweckt, die Unterschiede in der finanziellen Leistungsfähigkeit und in der Belastung der Gemeinden zu mildern und ausgewogene Verhältnisse in der Steuerbelastung anzustreben (Art. 1 FILAG). Die Rechtsgrundlagen sind auf der </w:t>
      </w:r>
      <w:hyperlink r:id="rId8" w:history="1">
        <w:r w:rsidRPr="00D34538">
          <w:rPr>
            <w:rStyle w:val="Hyperlink"/>
            <w:rFonts w:asciiTheme="majorHAnsi" w:hAnsiTheme="majorHAnsi" w:cstheme="majorHAnsi"/>
            <w:lang w:val="de-CH"/>
          </w:rPr>
          <w:t>Webseite der Finanzdirektion</w:t>
        </w:r>
      </w:hyperlink>
      <w:r w:rsidRPr="00D34538">
        <w:rPr>
          <w:rFonts w:asciiTheme="majorHAnsi" w:hAnsiTheme="majorHAnsi" w:cstheme="majorHAnsi"/>
          <w:lang w:val="de-CH"/>
        </w:rPr>
        <w:t xml:space="preserve"> im Detail</w:t>
      </w:r>
      <w:r w:rsidR="00D34538" w:rsidRPr="00D34538">
        <w:rPr>
          <w:rFonts w:asciiTheme="majorHAnsi" w:hAnsiTheme="majorHAnsi" w:cstheme="majorHAnsi"/>
          <w:lang w:val="de-CH"/>
        </w:rPr>
        <w:t xml:space="preserve"> abrufbar</w:t>
      </w:r>
      <w:r w:rsidRPr="00D34538">
        <w:rPr>
          <w:rFonts w:asciiTheme="majorHAnsi" w:hAnsiTheme="majorHAnsi" w:cstheme="majorHAnsi"/>
          <w:lang w:val="de-CH"/>
        </w:rPr>
        <w:t xml:space="preserve"> </w:t>
      </w:r>
      <w:r w:rsidR="00D34538" w:rsidRPr="00D34538">
        <w:rPr>
          <w:rFonts w:asciiTheme="majorHAnsi" w:hAnsiTheme="majorHAnsi" w:cstheme="majorHAnsi"/>
          <w:lang w:val="de-CH"/>
        </w:rPr>
        <w:t>und im Anhang 1 mit weiteren Informationen zusammengefasst</w:t>
      </w:r>
      <w:r w:rsidRPr="00D34538">
        <w:rPr>
          <w:rFonts w:asciiTheme="majorHAnsi" w:hAnsiTheme="majorHAnsi" w:cstheme="majorHAnsi"/>
          <w:lang w:val="de-CH"/>
        </w:rPr>
        <w:t>.</w:t>
      </w:r>
    </w:p>
    <w:p w14:paraId="231E4EBF" w14:textId="77777777" w:rsidR="008270AB" w:rsidRPr="00D34538" w:rsidRDefault="008270AB" w:rsidP="00D34538">
      <w:pPr>
        <w:pStyle w:val="Textkrper"/>
        <w:spacing w:line="270" w:lineRule="atLeast"/>
        <w:rPr>
          <w:rFonts w:asciiTheme="majorHAnsi" w:hAnsiTheme="majorHAnsi" w:cstheme="majorHAnsi"/>
          <w:lang w:val="de-CH"/>
        </w:rPr>
      </w:pPr>
    </w:p>
    <w:p w14:paraId="58F2912F" w14:textId="77777777" w:rsidR="004E4BBE" w:rsidRPr="00D34538" w:rsidRDefault="004E4BBE" w:rsidP="00D34538">
      <w:pPr>
        <w:pStyle w:val="Textkrper"/>
        <w:spacing w:line="270" w:lineRule="atLeast"/>
        <w:rPr>
          <w:rFonts w:asciiTheme="majorHAnsi" w:hAnsiTheme="majorHAnsi" w:cstheme="majorHAnsi"/>
          <w:lang w:val="de-CH"/>
        </w:rPr>
      </w:pPr>
      <w:r w:rsidRPr="00D34538">
        <w:rPr>
          <w:rFonts w:asciiTheme="majorHAnsi" w:hAnsiTheme="majorHAnsi" w:cstheme="majorHAnsi"/>
          <w:lang w:val="de-CH"/>
        </w:rPr>
        <w:t>Die Zielsetzungen für die Laufende Analyse der Wirksamkeit des FILAG sind:</w:t>
      </w:r>
    </w:p>
    <w:p w14:paraId="6CB8ADB6" w14:textId="77777777" w:rsidR="004E4BBE" w:rsidRPr="00D34538" w:rsidRDefault="004E4BBE" w:rsidP="00D34538">
      <w:pPr>
        <w:pStyle w:val="Aufzhlungszeichen"/>
        <w:contextualSpacing w:val="0"/>
        <w:rPr>
          <w:rFonts w:asciiTheme="majorHAnsi" w:hAnsiTheme="majorHAnsi" w:cstheme="majorHAnsi"/>
          <w:szCs w:val="21"/>
        </w:rPr>
      </w:pPr>
      <w:r w:rsidRPr="00D34538">
        <w:rPr>
          <w:rFonts w:asciiTheme="majorHAnsi" w:hAnsiTheme="majorHAnsi" w:cstheme="majorHAnsi"/>
          <w:szCs w:val="21"/>
        </w:rPr>
        <w:t>Bereitstellung der Grundlagen für ein Gemeindemonitoring, um die Wirkungs- und Zielerreichung des FILAG laufend zu analysieren.</w:t>
      </w:r>
    </w:p>
    <w:p w14:paraId="03ECFFB4" w14:textId="77777777" w:rsidR="004E4BBE" w:rsidRPr="00D34538" w:rsidRDefault="004E4BBE" w:rsidP="00D34538">
      <w:pPr>
        <w:pStyle w:val="Aufzhlungszeichen"/>
        <w:contextualSpacing w:val="0"/>
        <w:rPr>
          <w:rFonts w:asciiTheme="majorHAnsi" w:hAnsiTheme="majorHAnsi" w:cstheme="majorHAnsi"/>
          <w:szCs w:val="21"/>
        </w:rPr>
      </w:pPr>
      <w:r w:rsidRPr="00D34538">
        <w:rPr>
          <w:rFonts w:asciiTheme="majorHAnsi" w:hAnsiTheme="majorHAnsi" w:cstheme="majorHAnsi"/>
          <w:szCs w:val="21"/>
        </w:rPr>
        <w:t>Laufende Beobachtung der Entwicklung der Gemeindefinanzen betreffend die Wirkungen des Finanz- und Lastenausgleichs.</w:t>
      </w:r>
    </w:p>
    <w:p w14:paraId="361A551D" w14:textId="4FC59602" w:rsidR="004E4BBE" w:rsidRPr="00D34538" w:rsidRDefault="004E4BBE" w:rsidP="00D34538">
      <w:pPr>
        <w:pStyle w:val="Aufzhlungszeichen"/>
        <w:contextualSpacing w:val="0"/>
        <w:rPr>
          <w:rFonts w:asciiTheme="majorHAnsi" w:hAnsiTheme="majorHAnsi" w:cstheme="majorHAnsi"/>
          <w:szCs w:val="21"/>
        </w:rPr>
      </w:pPr>
      <w:r w:rsidRPr="00D34538">
        <w:rPr>
          <w:rFonts w:asciiTheme="majorHAnsi" w:hAnsiTheme="majorHAnsi" w:cstheme="majorHAnsi"/>
          <w:szCs w:val="21"/>
        </w:rPr>
        <w:t xml:space="preserve">Bereitstellung von Grundlagen, </w:t>
      </w:r>
      <w:r w:rsidR="005739C6" w:rsidRPr="00D34538">
        <w:rPr>
          <w:rFonts w:asciiTheme="majorHAnsi" w:hAnsiTheme="majorHAnsi" w:cstheme="majorHAnsi"/>
          <w:szCs w:val="21"/>
        </w:rPr>
        <w:t xml:space="preserve">die </w:t>
      </w:r>
      <w:r w:rsidRPr="00D34538">
        <w:rPr>
          <w:rFonts w:asciiTheme="majorHAnsi" w:hAnsiTheme="majorHAnsi" w:cstheme="majorHAnsi"/>
          <w:szCs w:val="21"/>
        </w:rPr>
        <w:t>es dem Regierungsrat ermöglichen, die Feinsteuerung innerhalb der im FILAG festgelegten Bandbreiten beim Vollzug des Finanzausgleichs (Disparitätenabbau und Mindestausstattung) sowie bei den Massnahmen für besonders belastete Gemeinden vorzunehmen.</w:t>
      </w:r>
    </w:p>
    <w:p w14:paraId="46D64D43" w14:textId="77777777" w:rsidR="004E4BBE" w:rsidRPr="00D34538" w:rsidRDefault="004E4BBE" w:rsidP="00D34538">
      <w:pPr>
        <w:pStyle w:val="Aufzhlungszeichen"/>
        <w:numPr>
          <w:ilvl w:val="0"/>
          <w:numId w:val="0"/>
        </w:numPr>
        <w:contextualSpacing w:val="0"/>
        <w:rPr>
          <w:rFonts w:asciiTheme="majorHAnsi" w:hAnsiTheme="majorHAnsi" w:cstheme="majorHAnsi"/>
          <w:szCs w:val="21"/>
        </w:rPr>
      </w:pPr>
    </w:p>
    <w:p w14:paraId="58E6413B" w14:textId="3586532E" w:rsidR="004E4BBE" w:rsidRPr="00D34538" w:rsidRDefault="004E4BBE" w:rsidP="00D34538">
      <w:pPr>
        <w:pStyle w:val="Textkrper"/>
        <w:spacing w:line="270" w:lineRule="atLeast"/>
        <w:rPr>
          <w:rFonts w:asciiTheme="majorHAnsi" w:hAnsiTheme="majorHAnsi" w:cstheme="majorHAnsi"/>
          <w:lang w:val="de-CH"/>
        </w:rPr>
      </w:pPr>
      <w:r w:rsidRPr="00D34538">
        <w:rPr>
          <w:rFonts w:asciiTheme="majorHAnsi" w:hAnsiTheme="majorHAnsi" w:cstheme="majorHAnsi"/>
          <w:lang w:val="de-CH"/>
        </w:rPr>
        <w:t xml:space="preserve">Die vorliegende Analyse </w:t>
      </w:r>
      <w:bookmarkStart w:id="4" w:name="_Toc181802745"/>
      <w:bookmarkStart w:id="5" w:name="_Toc181802789"/>
      <w:bookmarkEnd w:id="4"/>
      <w:bookmarkEnd w:id="5"/>
      <w:r w:rsidRPr="00D34538">
        <w:rPr>
          <w:rFonts w:asciiTheme="majorHAnsi" w:hAnsiTheme="majorHAnsi" w:cstheme="majorHAnsi"/>
          <w:lang w:val="de-CH"/>
        </w:rPr>
        <w:t>basiert auf einer Zusammenstellung aller wichtigen Finanzströme im Finanz- und Lastenausgleich. Die Effekte wurden für jede Gemeinde ermittelt und in einer Excel-Datenbank erfasst. Die Analysen umfassen den Zeitraum vom Jahr 20</w:t>
      </w:r>
      <w:r w:rsidR="00ED0A6F" w:rsidRPr="00D34538">
        <w:rPr>
          <w:rFonts w:asciiTheme="majorHAnsi" w:hAnsiTheme="majorHAnsi" w:cstheme="majorHAnsi"/>
          <w:lang w:val="de-CH"/>
        </w:rPr>
        <w:t>20</w:t>
      </w:r>
      <w:r w:rsidRPr="00D34538">
        <w:rPr>
          <w:rFonts w:asciiTheme="majorHAnsi" w:hAnsiTheme="majorHAnsi" w:cstheme="majorHAnsi"/>
          <w:lang w:val="de-CH"/>
        </w:rPr>
        <w:t xml:space="preserve"> bis und mit dem Jahr 2024 (5 Jahre).</w:t>
      </w:r>
    </w:p>
    <w:p w14:paraId="70B7F713" w14:textId="77777777" w:rsidR="004E4BBE" w:rsidRPr="00A5344E" w:rsidRDefault="004E4BBE" w:rsidP="004E4BBE">
      <w:pPr>
        <w:pStyle w:val="berschrift2nummeriert"/>
        <w:rPr>
          <w:rFonts w:cstheme="majorHAnsi"/>
        </w:rPr>
      </w:pPr>
      <w:bookmarkStart w:id="6" w:name="_Toc191888230"/>
      <w:r w:rsidRPr="00A5344E">
        <w:rPr>
          <w:rFonts w:cstheme="majorHAnsi"/>
        </w:rPr>
        <w:t>Aufbau des Berichts</w:t>
      </w:r>
      <w:bookmarkEnd w:id="6"/>
    </w:p>
    <w:p w14:paraId="49BCF0EF" w14:textId="67A26E85"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In Kapitel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_Ref185250143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3</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w:t>
      </w:r>
      <w:r w:rsidRPr="00A5344E">
        <w:rPr>
          <w:rFonts w:asciiTheme="majorHAnsi" w:hAnsiTheme="majorHAnsi" w:cstheme="majorHAnsi"/>
        </w:rPr>
        <w:t xml:space="preserve">wird die finanzielle Entwicklung der einzelnen Instrumente des FILAG beschrieben. Die Daten sollen zeigen, bei welchen Instrumenten es in der Summe der Gemeinden Mehr- bzw. Minderbelastungen gegeben hat. Anschliessend wird in </w:t>
      </w:r>
      <w:r w:rsidR="00D21982" w:rsidRPr="00A5344E">
        <w:rPr>
          <w:rFonts w:asciiTheme="majorHAnsi" w:hAnsiTheme="majorHAnsi" w:cstheme="majorHAnsi"/>
        </w:rPr>
        <w:t xml:space="preserve">den Abschnitten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_Ref185250249 \r \h </w:instrText>
      </w:r>
      <w:r w:rsid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4.1</w:t>
      </w:r>
      <w:r w:rsidR="00D21982" w:rsidRPr="00A5344E">
        <w:rPr>
          <w:rFonts w:asciiTheme="majorHAnsi" w:hAnsiTheme="majorHAnsi" w:cstheme="majorHAnsi"/>
        </w:rPr>
        <w:fldChar w:fldCharType="end"/>
      </w:r>
      <w:r w:rsidR="00305225">
        <w:rPr>
          <w:rFonts w:asciiTheme="majorHAnsi" w:hAnsiTheme="majorHAnsi" w:cstheme="majorHAnsi"/>
        </w:rPr>
        <w:t>–</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_Ref185250267 \r \h </w:instrText>
      </w:r>
      <w:r w:rsid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4.4</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w:t>
      </w:r>
      <w:r w:rsidRPr="00A5344E">
        <w:rPr>
          <w:rFonts w:asciiTheme="majorHAnsi" w:hAnsiTheme="majorHAnsi" w:cstheme="majorHAnsi"/>
        </w:rPr>
        <w:t xml:space="preserve">aufgezeigt, wie sich die Mehr- bzw. Minderbelastungen durch die FILAG-Instrumente auf verschiedene Gemeindegruppen ausgewirkt haben. In den </w:t>
      </w:r>
      <w:r w:rsidR="00D21982" w:rsidRPr="00A5344E">
        <w:rPr>
          <w:rFonts w:asciiTheme="majorHAnsi" w:hAnsiTheme="majorHAnsi" w:cstheme="majorHAnsi"/>
        </w:rPr>
        <w:t xml:space="preserve">Abschnitten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_Ref185250193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4.5</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und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_Ref185250197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4.6</w:t>
      </w:r>
      <w:r w:rsidR="00D21982" w:rsidRPr="00A5344E">
        <w:rPr>
          <w:rFonts w:asciiTheme="majorHAnsi" w:hAnsiTheme="majorHAnsi" w:cstheme="majorHAnsi"/>
        </w:rPr>
        <w:fldChar w:fldCharType="end"/>
      </w:r>
      <w:r w:rsidRPr="00A5344E">
        <w:rPr>
          <w:rFonts w:asciiTheme="majorHAnsi" w:hAnsiTheme="majorHAnsi" w:cstheme="majorHAnsi"/>
        </w:rPr>
        <w:t xml:space="preserve"> wird die Entwicklung der Steueranlagen und der Steuereinnahmen der Gemeinden beschrieben und analysiert. Abschliessend wird in Kapitel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_Ref185250214 \r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4.7</w:t>
      </w:r>
      <w:r w:rsidR="00D21982" w:rsidRPr="00A5344E">
        <w:rPr>
          <w:rFonts w:asciiTheme="majorHAnsi" w:hAnsiTheme="majorHAnsi" w:cstheme="majorHAnsi"/>
        </w:rPr>
        <w:fldChar w:fldCharType="end"/>
      </w:r>
      <w:r w:rsidRPr="00A5344E">
        <w:rPr>
          <w:rFonts w:asciiTheme="majorHAnsi" w:hAnsiTheme="majorHAnsi" w:cstheme="majorHAnsi"/>
        </w:rPr>
        <w:t xml:space="preserve"> ein kurzer Blick auf die Rechnungsergebnisse 202</w:t>
      </w:r>
      <w:r w:rsidR="00ED0A6F" w:rsidRPr="00A5344E">
        <w:rPr>
          <w:rFonts w:asciiTheme="majorHAnsi" w:hAnsiTheme="majorHAnsi" w:cstheme="majorHAnsi"/>
        </w:rPr>
        <w:t>4</w:t>
      </w:r>
      <w:r w:rsidRPr="00A5344E">
        <w:rPr>
          <w:rFonts w:asciiTheme="majorHAnsi" w:hAnsiTheme="majorHAnsi" w:cstheme="majorHAnsi"/>
        </w:rPr>
        <w:t xml:space="preserve"> der Gemeinden geworfen.</w:t>
      </w:r>
    </w:p>
    <w:p w14:paraId="6C72BFF5" w14:textId="77777777" w:rsidR="00827FD3" w:rsidRPr="00A5344E" w:rsidRDefault="00827FD3" w:rsidP="004E4BBE">
      <w:pPr>
        <w:rPr>
          <w:rFonts w:asciiTheme="majorHAnsi" w:hAnsiTheme="majorHAnsi" w:cstheme="majorHAnsi"/>
        </w:rPr>
      </w:pPr>
    </w:p>
    <w:p w14:paraId="3449DCBF" w14:textId="222DC673" w:rsidR="00984F56" w:rsidRPr="00A5344E" w:rsidRDefault="00984F56" w:rsidP="00D34538">
      <w:pPr>
        <w:rPr>
          <w:rFonts w:asciiTheme="majorHAnsi" w:hAnsiTheme="majorHAnsi" w:cstheme="majorHAnsi"/>
        </w:rPr>
      </w:pPr>
      <w:r w:rsidRPr="00A5344E">
        <w:rPr>
          <w:rFonts w:asciiTheme="majorHAnsi" w:hAnsiTheme="majorHAnsi" w:cstheme="majorHAnsi"/>
        </w:rPr>
        <w:br w:type="page"/>
      </w:r>
    </w:p>
    <w:p w14:paraId="0A802BEF" w14:textId="77777777" w:rsidR="004E4BBE" w:rsidRPr="00A5344E" w:rsidRDefault="004E4BBE" w:rsidP="004E4BBE">
      <w:pPr>
        <w:pStyle w:val="H1"/>
        <w:rPr>
          <w:rFonts w:cstheme="majorHAnsi"/>
        </w:rPr>
      </w:pPr>
      <w:bookmarkStart w:id="7" w:name="_Toc191888231"/>
      <w:r w:rsidRPr="00A5344E">
        <w:rPr>
          <w:rFonts w:cstheme="majorHAnsi"/>
        </w:rPr>
        <w:lastRenderedPageBreak/>
        <w:t>Finanzausgleich</w:t>
      </w:r>
      <w:bookmarkEnd w:id="7"/>
    </w:p>
    <w:p w14:paraId="14AB3CF7" w14:textId="66932116"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Nachfolgende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_Ref183413682 \h </w:instrText>
      </w:r>
      <w:r w:rsidR="00984F56" w:rsidRP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 xml:space="preserve">Abbildung </w:t>
      </w:r>
      <w:r w:rsidR="00A513C6" w:rsidRPr="00A5344E">
        <w:rPr>
          <w:rFonts w:asciiTheme="majorHAnsi" w:hAnsiTheme="majorHAnsi" w:cstheme="majorHAnsi"/>
          <w:noProof/>
        </w:rPr>
        <w:t>1</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w:t>
      </w:r>
      <w:r w:rsidRPr="00A5344E">
        <w:rPr>
          <w:rFonts w:asciiTheme="majorHAnsi" w:hAnsiTheme="majorHAnsi" w:cstheme="majorHAnsi"/>
        </w:rPr>
        <w:t>zeigt die kantonalen Zahlungen an die Gemeinden von 2020</w:t>
      </w:r>
      <w:r w:rsidR="006F5C2E">
        <w:rPr>
          <w:rFonts w:asciiTheme="majorHAnsi" w:hAnsiTheme="majorHAnsi" w:cstheme="majorHAnsi"/>
        </w:rPr>
        <w:t>–</w:t>
      </w:r>
      <w:r w:rsidRPr="00A5344E">
        <w:rPr>
          <w:rFonts w:asciiTheme="majorHAnsi" w:hAnsiTheme="majorHAnsi" w:cstheme="majorHAnsi"/>
        </w:rPr>
        <w:t xml:space="preserve">2024. </w:t>
      </w:r>
    </w:p>
    <w:p w14:paraId="056A335A" w14:textId="77777777" w:rsidR="00984F56" w:rsidRPr="00A5344E" w:rsidRDefault="00984F56" w:rsidP="004E4BBE">
      <w:pPr>
        <w:rPr>
          <w:rFonts w:asciiTheme="majorHAnsi" w:hAnsiTheme="majorHAnsi" w:cstheme="majorHAnsi"/>
        </w:rPr>
      </w:pPr>
    </w:p>
    <w:p w14:paraId="42E68CB0" w14:textId="0007ACD0" w:rsidR="007732EE" w:rsidRPr="00A5344E" w:rsidRDefault="004E4BBE" w:rsidP="007732EE">
      <w:pPr>
        <w:pStyle w:val="Beschriftung"/>
        <w:keepNext/>
        <w:ind w:left="1418" w:hanging="1418"/>
        <w:rPr>
          <w:rFonts w:asciiTheme="majorHAnsi" w:hAnsiTheme="majorHAnsi" w:cstheme="majorHAnsi"/>
          <w:b/>
          <w:bCs w:val="0"/>
        </w:rPr>
      </w:pPr>
      <w:bookmarkStart w:id="8" w:name="_Ref183413682"/>
      <w:r w:rsidRPr="00A5344E">
        <w:rPr>
          <w:rFonts w:asciiTheme="majorHAnsi" w:hAnsiTheme="majorHAnsi" w:cstheme="majorHAnsi"/>
          <w:b/>
          <w:bCs w:val="0"/>
        </w:rPr>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1</w:t>
      </w:r>
      <w:r w:rsidR="007732EE" w:rsidRPr="00A5344E">
        <w:rPr>
          <w:rFonts w:asciiTheme="majorHAnsi" w:hAnsiTheme="majorHAnsi" w:cstheme="majorHAnsi"/>
          <w:b/>
          <w:bCs w:val="0"/>
        </w:rPr>
        <w:fldChar w:fldCharType="end"/>
      </w:r>
      <w:bookmarkEnd w:id="8"/>
      <w:r w:rsidRPr="00A5344E">
        <w:rPr>
          <w:rFonts w:asciiTheme="majorHAnsi" w:hAnsiTheme="majorHAnsi" w:cstheme="majorHAnsi"/>
          <w:b/>
          <w:bCs w:val="0"/>
        </w:rPr>
        <w:t>:</w:t>
      </w:r>
      <w:bookmarkStart w:id="9" w:name="_Hlk183418893"/>
      <w:r w:rsidR="00984F56" w:rsidRPr="00A5344E">
        <w:rPr>
          <w:rFonts w:asciiTheme="majorHAnsi" w:hAnsiTheme="majorHAnsi" w:cstheme="majorHAnsi"/>
          <w:b/>
          <w:bCs w:val="0"/>
        </w:rPr>
        <w:tab/>
      </w:r>
      <w:r w:rsidRPr="00A5344E">
        <w:rPr>
          <w:rFonts w:asciiTheme="majorHAnsi" w:hAnsiTheme="majorHAnsi" w:cstheme="majorHAnsi"/>
          <w:b/>
          <w:bCs w:val="0"/>
        </w:rPr>
        <w:t>Finanzausgleich und Massnahmen für besonders belastete Gemeinden (2020</w:t>
      </w:r>
      <w:r w:rsidR="006F5C2E">
        <w:rPr>
          <w:rFonts w:asciiTheme="majorHAnsi" w:hAnsiTheme="majorHAnsi" w:cstheme="majorHAnsi"/>
          <w:b/>
          <w:bCs w:val="0"/>
        </w:rPr>
        <w:t>–</w:t>
      </w:r>
      <w:r w:rsidRPr="00A5344E">
        <w:rPr>
          <w:rFonts w:asciiTheme="majorHAnsi" w:hAnsiTheme="majorHAnsi" w:cstheme="majorHAnsi"/>
          <w:b/>
          <w:bCs w:val="0"/>
        </w:rPr>
        <w:t>20224) – Kantonale Zahlungen an die Gemeinden (in CHF)</w:t>
      </w:r>
      <w:bookmarkEnd w:id="9"/>
    </w:p>
    <w:tbl>
      <w:tblPr>
        <w:tblStyle w:val="Ecoplankombi"/>
        <w:tblW w:w="5000" w:type="pct"/>
        <w:tblLayout w:type="fixed"/>
        <w:tblLook w:val="04A0" w:firstRow="1" w:lastRow="0" w:firstColumn="1" w:lastColumn="0" w:noHBand="0" w:noVBand="1"/>
      </w:tblPr>
      <w:tblGrid>
        <w:gridCol w:w="3589"/>
        <w:gridCol w:w="1771"/>
        <w:gridCol w:w="1155"/>
        <w:gridCol w:w="1155"/>
        <w:gridCol w:w="1155"/>
        <w:gridCol w:w="1153"/>
      </w:tblGrid>
      <w:tr w:rsidR="004E4BBE" w:rsidRPr="00A5344E" w14:paraId="66D346DB"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798" w:type="pct"/>
            <w:noWrap/>
            <w:hideMark/>
          </w:tcPr>
          <w:p w14:paraId="6EB9F00E" w14:textId="77777777" w:rsidR="004E4BBE" w:rsidRPr="00A5344E" w:rsidRDefault="004E4BBE" w:rsidP="004E4BBE">
            <w:pPr>
              <w:pStyle w:val="Tabellentext"/>
              <w:rPr>
                <w:rFonts w:asciiTheme="majorHAnsi" w:hAnsiTheme="majorHAnsi" w:cstheme="majorHAnsi"/>
                <w:lang w:eastAsia="de-CH"/>
              </w:rPr>
            </w:pPr>
            <w:r w:rsidRPr="00A5344E">
              <w:rPr>
                <w:rFonts w:asciiTheme="majorHAnsi" w:hAnsiTheme="majorHAnsi" w:cstheme="majorHAnsi"/>
                <w:lang w:eastAsia="de-CH"/>
              </w:rPr>
              <w:t> </w:t>
            </w:r>
          </w:p>
        </w:tc>
        <w:tc>
          <w:tcPr>
            <w:tcW w:w="887" w:type="pct"/>
            <w:noWrap/>
            <w:hideMark/>
          </w:tcPr>
          <w:p w14:paraId="6E3B3D13"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2020</w:t>
            </w:r>
          </w:p>
        </w:tc>
        <w:tc>
          <w:tcPr>
            <w:tcW w:w="579" w:type="pct"/>
            <w:noWrap/>
            <w:hideMark/>
          </w:tcPr>
          <w:p w14:paraId="71A2E2A2"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2021</w:t>
            </w:r>
          </w:p>
        </w:tc>
        <w:tc>
          <w:tcPr>
            <w:tcW w:w="579" w:type="pct"/>
            <w:noWrap/>
            <w:hideMark/>
          </w:tcPr>
          <w:p w14:paraId="10DD4DE0"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2022</w:t>
            </w:r>
          </w:p>
        </w:tc>
        <w:tc>
          <w:tcPr>
            <w:tcW w:w="579" w:type="pct"/>
            <w:noWrap/>
            <w:hideMark/>
          </w:tcPr>
          <w:p w14:paraId="150148F1"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2023</w:t>
            </w:r>
          </w:p>
        </w:tc>
        <w:tc>
          <w:tcPr>
            <w:tcW w:w="578" w:type="pct"/>
            <w:noWrap/>
            <w:hideMark/>
          </w:tcPr>
          <w:p w14:paraId="6D5812B9"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2024</w:t>
            </w:r>
          </w:p>
        </w:tc>
      </w:tr>
      <w:tr w:rsidR="004E4BBE" w:rsidRPr="00A5344E" w14:paraId="7877EEA2"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2466A8E6" w14:textId="77777777" w:rsidR="00984F56"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 xml:space="preserve">Finanzausgleich (Mindestausstattung); </w:t>
            </w:r>
          </w:p>
          <w:p w14:paraId="52521EF1" w14:textId="7F8B7724"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Disparitätenabbau per Saldo = 0</w:t>
            </w:r>
          </w:p>
        </w:tc>
        <w:tc>
          <w:tcPr>
            <w:tcW w:w="887" w:type="pct"/>
            <w:noWrap/>
            <w:hideMark/>
          </w:tcPr>
          <w:p w14:paraId="3379E628"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29’356’178</w:t>
            </w:r>
          </w:p>
        </w:tc>
        <w:tc>
          <w:tcPr>
            <w:tcW w:w="579" w:type="pct"/>
            <w:noWrap/>
            <w:hideMark/>
          </w:tcPr>
          <w:p w14:paraId="667F67DE"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30’403’597</w:t>
            </w:r>
          </w:p>
        </w:tc>
        <w:tc>
          <w:tcPr>
            <w:tcW w:w="579" w:type="pct"/>
            <w:noWrap/>
            <w:hideMark/>
          </w:tcPr>
          <w:p w14:paraId="40C0999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29’468’417</w:t>
            </w:r>
          </w:p>
        </w:tc>
        <w:tc>
          <w:tcPr>
            <w:tcW w:w="579" w:type="pct"/>
            <w:noWrap/>
            <w:hideMark/>
          </w:tcPr>
          <w:p w14:paraId="37D15647"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31’067’841</w:t>
            </w:r>
          </w:p>
        </w:tc>
        <w:tc>
          <w:tcPr>
            <w:tcW w:w="578" w:type="pct"/>
            <w:noWrap/>
            <w:hideMark/>
          </w:tcPr>
          <w:p w14:paraId="74E7B782"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29’564’402</w:t>
            </w:r>
          </w:p>
        </w:tc>
      </w:tr>
      <w:tr w:rsidR="004E4BBE" w:rsidRPr="00A5344E" w14:paraId="46E46717"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798" w:type="pct"/>
            <w:noWrap/>
            <w:hideMark/>
          </w:tcPr>
          <w:p w14:paraId="480EA1B5"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geografisch-topografischer Zuschuss</w:t>
            </w:r>
          </w:p>
        </w:tc>
        <w:tc>
          <w:tcPr>
            <w:tcW w:w="887" w:type="pct"/>
            <w:noWrap/>
            <w:hideMark/>
          </w:tcPr>
          <w:p w14:paraId="745E79AA"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38’704’488</w:t>
            </w:r>
          </w:p>
        </w:tc>
        <w:tc>
          <w:tcPr>
            <w:tcW w:w="579" w:type="pct"/>
            <w:noWrap/>
            <w:hideMark/>
          </w:tcPr>
          <w:p w14:paraId="676E5196"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38’711’815</w:t>
            </w:r>
          </w:p>
        </w:tc>
        <w:tc>
          <w:tcPr>
            <w:tcW w:w="579" w:type="pct"/>
            <w:noWrap/>
            <w:hideMark/>
          </w:tcPr>
          <w:p w14:paraId="0E3CD7D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38’692’120</w:t>
            </w:r>
          </w:p>
        </w:tc>
        <w:tc>
          <w:tcPr>
            <w:tcW w:w="579" w:type="pct"/>
            <w:noWrap/>
            <w:hideMark/>
          </w:tcPr>
          <w:p w14:paraId="4F3004C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38’702’195</w:t>
            </w:r>
          </w:p>
        </w:tc>
        <w:tc>
          <w:tcPr>
            <w:tcW w:w="578" w:type="pct"/>
            <w:noWrap/>
            <w:hideMark/>
          </w:tcPr>
          <w:p w14:paraId="003330D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38’179’602</w:t>
            </w:r>
          </w:p>
        </w:tc>
      </w:tr>
      <w:tr w:rsidR="004E4BBE" w:rsidRPr="00A5344E" w14:paraId="2CB511C9"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4353BACB"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soziodemografischer Zuschuss</w:t>
            </w:r>
          </w:p>
        </w:tc>
        <w:tc>
          <w:tcPr>
            <w:tcW w:w="887" w:type="pct"/>
            <w:noWrap/>
            <w:hideMark/>
          </w:tcPr>
          <w:p w14:paraId="7E31D303"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14’025’000</w:t>
            </w:r>
          </w:p>
        </w:tc>
        <w:tc>
          <w:tcPr>
            <w:tcW w:w="579" w:type="pct"/>
            <w:noWrap/>
            <w:hideMark/>
          </w:tcPr>
          <w:p w14:paraId="58790F0D"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15’750’000</w:t>
            </w:r>
          </w:p>
        </w:tc>
        <w:tc>
          <w:tcPr>
            <w:tcW w:w="579" w:type="pct"/>
            <w:noWrap/>
            <w:hideMark/>
          </w:tcPr>
          <w:p w14:paraId="37435465"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16’000’000</w:t>
            </w:r>
          </w:p>
        </w:tc>
        <w:tc>
          <w:tcPr>
            <w:tcW w:w="579" w:type="pct"/>
            <w:noWrap/>
            <w:hideMark/>
          </w:tcPr>
          <w:p w14:paraId="2D09650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16’500’000</w:t>
            </w:r>
          </w:p>
        </w:tc>
        <w:tc>
          <w:tcPr>
            <w:tcW w:w="578" w:type="pct"/>
            <w:noWrap/>
            <w:hideMark/>
          </w:tcPr>
          <w:p w14:paraId="5C75C28A"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17’000’000</w:t>
            </w:r>
          </w:p>
        </w:tc>
      </w:tr>
      <w:tr w:rsidR="004E4BBE" w:rsidRPr="00A5344E" w14:paraId="1BD3948E"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798" w:type="pct"/>
            <w:noWrap/>
            <w:hideMark/>
          </w:tcPr>
          <w:p w14:paraId="397803D8"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Pauschale Abgeltung Zentrumslasten (Bern, Biel, Thun)</w:t>
            </w:r>
          </w:p>
        </w:tc>
        <w:tc>
          <w:tcPr>
            <w:tcW w:w="887" w:type="pct"/>
            <w:noWrap/>
            <w:hideMark/>
          </w:tcPr>
          <w:p w14:paraId="4C38354F"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90’844’000</w:t>
            </w:r>
          </w:p>
        </w:tc>
        <w:tc>
          <w:tcPr>
            <w:tcW w:w="579" w:type="pct"/>
            <w:noWrap/>
            <w:hideMark/>
          </w:tcPr>
          <w:p w14:paraId="2361E84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90’844’000</w:t>
            </w:r>
          </w:p>
        </w:tc>
        <w:tc>
          <w:tcPr>
            <w:tcW w:w="579" w:type="pct"/>
            <w:noWrap/>
            <w:hideMark/>
          </w:tcPr>
          <w:p w14:paraId="7E179CD6"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90’844’000</w:t>
            </w:r>
          </w:p>
        </w:tc>
        <w:tc>
          <w:tcPr>
            <w:tcW w:w="579" w:type="pct"/>
            <w:noWrap/>
            <w:hideMark/>
          </w:tcPr>
          <w:p w14:paraId="6AE8C9C8"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90’844’000</w:t>
            </w:r>
          </w:p>
        </w:tc>
        <w:tc>
          <w:tcPr>
            <w:tcW w:w="578" w:type="pct"/>
            <w:noWrap/>
            <w:hideMark/>
          </w:tcPr>
          <w:p w14:paraId="7F91EA3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90’844’000</w:t>
            </w:r>
          </w:p>
        </w:tc>
      </w:tr>
      <w:tr w:rsidR="004E4BBE" w:rsidRPr="00A5344E" w14:paraId="052D03ED"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798" w:type="pct"/>
            <w:noWrap/>
            <w:hideMark/>
          </w:tcPr>
          <w:p w14:paraId="1EF6CB34"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Total</w:t>
            </w:r>
          </w:p>
        </w:tc>
        <w:tc>
          <w:tcPr>
            <w:tcW w:w="887" w:type="pct"/>
            <w:noWrap/>
            <w:hideMark/>
          </w:tcPr>
          <w:p w14:paraId="7CDE4588"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172’929’666</w:t>
            </w:r>
          </w:p>
        </w:tc>
        <w:tc>
          <w:tcPr>
            <w:tcW w:w="579" w:type="pct"/>
            <w:noWrap/>
            <w:hideMark/>
          </w:tcPr>
          <w:p w14:paraId="761E62B9"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175’709’411</w:t>
            </w:r>
          </w:p>
        </w:tc>
        <w:tc>
          <w:tcPr>
            <w:tcW w:w="579" w:type="pct"/>
            <w:noWrap/>
            <w:hideMark/>
          </w:tcPr>
          <w:p w14:paraId="06BE37D7"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175’004’537</w:t>
            </w:r>
          </w:p>
        </w:tc>
        <w:tc>
          <w:tcPr>
            <w:tcW w:w="579" w:type="pct"/>
            <w:noWrap/>
            <w:hideMark/>
          </w:tcPr>
          <w:p w14:paraId="4A70E47C"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177’114’036</w:t>
            </w:r>
          </w:p>
        </w:tc>
        <w:tc>
          <w:tcPr>
            <w:tcW w:w="578" w:type="pct"/>
            <w:noWrap/>
            <w:hideMark/>
          </w:tcPr>
          <w:p w14:paraId="67FA376B"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175’588’003</w:t>
            </w:r>
          </w:p>
        </w:tc>
      </w:tr>
    </w:tbl>
    <w:p w14:paraId="2AFC5ED6" w14:textId="29B99E2C" w:rsidR="004E4BBE" w:rsidRPr="00A5344E" w:rsidRDefault="004E4BBE" w:rsidP="004E4BBE">
      <w:pPr>
        <w:pStyle w:val="Textkrper"/>
        <w:keepNext/>
        <w:rPr>
          <w:rFonts w:asciiTheme="majorHAnsi" w:hAnsiTheme="majorHAnsi" w:cstheme="majorHAnsi"/>
        </w:rPr>
      </w:pPr>
    </w:p>
    <w:p w14:paraId="597B8BA7" w14:textId="298D9949" w:rsidR="0088520A" w:rsidRPr="00A5344E" w:rsidRDefault="0088520A" w:rsidP="004E4BBE">
      <w:pPr>
        <w:pStyle w:val="Textkrper"/>
        <w:keepNext/>
        <w:rPr>
          <w:rFonts w:asciiTheme="majorHAnsi" w:hAnsiTheme="majorHAnsi" w:cstheme="majorHAnsi"/>
        </w:rPr>
      </w:pPr>
      <w:r w:rsidRPr="00A5344E">
        <w:rPr>
          <w:rFonts w:asciiTheme="majorHAnsi" w:hAnsiTheme="majorHAnsi" w:cstheme="majorHAnsi"/>
          <w:noProof/>
        </w:rPr>
        <w:drawing>
          <wp:inline distT="0" distB="0" distL="0" distR="0" wp14:anchorId="52BC2C80" wp14:editId="62C137FC">
            <wp:extent cx="5257800" cy="3066415"/>
            <wp:effectExtent l="0" t="0" r="0" b="635"/>
            <wp:docPr id="7841689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066415"/>
                    </a:xfrm>
                    <a:prstGeom prst="rect">
                      <a:avLst/>
                    </a:prstGeom>
                    <a:noFill/>
                    <a:ln>
                      <a:noFill/>
                    </a:ln>
                  </pic:spPr>
                </pic:pic>
              </a:graphicData>
            </a:graphic>
          </wp:inline>
        </w:drawing>
      </w:r>
    </w:p>
    <w:p w14:paraId="2ECEF303" w14:textId="12989935" w:rsidR="004E4BBE" w:rsidRPr="00A5344E" w:rsidRDefault="004E4BBE" w:rsidP="004E4BBE">
      <w:pPr>
        <w:pStyle w:val="Quelle"/>
        <w:keepNext/>
        <w:rPr>
          <w:rFonts w:asciiTheme="majorHAnsi" w:hAnsiTheme="majorHAnsi" w:cstheme="majorHAnsi"/>
        </w:rPr>
      </w:pPr>
      <w:r w:rsidRPr="00A5344E">
        <w:rPr>
          <w:rFonts w:asciiTheme="majorHAnsi" w:hAnsiTheme="majorHAnsi" w:cstheme="majorHAnsi"/>
        </w:rPr>
        <w:t xml:space="preserve">Hinweis: </w:t>
      </w:r>
      <w:r w:rsidRPr="00A5344E">
        <w:rPr>
          <w:rFonts w:asciiTheme="majorHAnsi" w:hAnsiTheme="majorHAnsi" w:cstheme="majorHAnsi"/>
        </w:rPr>
        <w:tab/>
        <w:t>In dieser Grafik wird nur die Saldobelastung aller Gemeinden zusammen dargestellt. Das bedeutet, dass der Disparitätenabbau beim Finanzausgleich nicht sichtbar ist, da dieser per Saldo für alle Gemeinden Null beträgt (horizontaler Finanzgleich). Diese Beträge werden aber bei der Analyse nach verschiedenen Gemeindekategorien berücksichtigt.</w:t>
      </w:r>
    </w:p>
    <w:p w14:paraId="1BDDA455" w14:textId="6AECF7A9" w:rsidR="004E4BBE" w:rsidRPr="006725BB" w:rsidRDefault="004E4BBE" w:rsidP="00D76B50">
      <w:pPr>
        <w:pStyle w:val="Textkrper"/>
        <w:rPr>
          <w:rFonts w:asciiTheme="majorHAnsi" w:hAnsiTheme="majorHAnsi" w:cstheme="majorHAnsi"/>
          <w:lang w:val="de-CH"/>
        </w:rPr>
      </w:pPr>
      <w:r w:rsidRPr="00A5344E">
        <w:rPr>
          <w:rFonts w:asciiTheme="majorHAnsi" w:hAnsiTheme="majorHAnsi" w:cstheme="majorHAnsi"/>
          <w:lang w:val="de-CH"/>
        </w:rPr>
        <w:t>In den nachfolgenden Abschnitten wird einzeln auf die verschiedenen Instrumente eingegangen.</w:t>
      </w:r>
    </w:p>
    <w:p w14:paraId="386CF047" w14:textId="77777777" w:rsidR="004E4BBE" w:rsidRPr="00A5344E" w:rsidRDefault="004E4BBE" w:rsidP="004E4BBE">
      <w:pPr>
        <w:pStyle w:val="berschrift2nummeriert"/>
        <w:rPr>
          <w:rFonts w:cstheme="majorHAnsi"/>
        </w:rPr>
      </w:pPr>
      <w:bookmarkStart w:id="10" w:name="_Toc191888232"/>
      <w:bookmarkEnd w:id="2"/>
      <w:r w:rsidRPr="00A5344E">
        <w:rPr>
          <w:rFonts w:cstheme="majorHAnsi"/>
        </w:rPr>
        <w:t>Direkter Finanzausgleich</w:t>
      </w:r>
      <w:bookmarkEnd w:id="10"/>
    </w:p>
    <w:p w14:paraId="62067E05" w14:textId="1D8581A6" w:rsidR="004E4BBE" w:rsidRPr="00A5344E" w:rsidRDefault="004E4BBE" w:rsidP="00D76B50">
      <w:pPr>
        <w:rPr>
          <w:rFonts w:asciiTheme="majorHAnsi" w:hAnsiTheme="majorHAnsi" w:cstheme="majorHAnsi"/>
        </w:rPr>
      </w:pPr>
      <w:r w:rsidRPr="00A5344E">
        <w:rPr>
          <w:rFonts w:asciiTheme="majorHAnsi" w:hAnsiTheme="majorHAnsi" w:cstheme="majorHAnsi"/>
        </w:rPr>
        <w:t>Die Entwicklung im direkten Finanzausgleich zeigt, dass die Gemeinden im Jahr 2024 vom Kanton rund CHF 29</w:t>
      </w:r>
      <w:r w:rsidR="001A3D0C">
        <w:rPr>
          <w:rFonts w:asciiTheme="majorHAnsi" w:hAnsiTheme="majorHAnsi" w:cstheme="majorHAnsi"/>
        </w:rPr>
        <w:t>,</w:t>
      </w:r>
      <w:r w:rsidRPr="00A5344E">
        <w:rPr>
          <w:rFonts w:asciiTheme="majorHAnsi" w:hAnsiTheme="majorHAnsi" w:cstheme="majorHAnsi"/>
        </w:rPr>
        <w:t xml:space="preserve">6 Millionen für die Mindestausstattung erhalten haben. Im Vergleich zum Jahr 2023 ist das eine Abnahme um </w:t>
      </w:r>
      <w:r w:rsidR="00144695">
        <w:rPr>
          <w:rFonts w:asciiTheme="majorHAnsi" w:hAnsiTheme="majorHAnsi" w:cstheme="majorHAnsi"/>
        </w:rPr>
        <w:t xml:space="preserve">CHF </w:t>
      </w:r>
      <w:r w:rsidRPr="00A5344E">
        <w:rPr>
          <w:rFonts w:asciiTheme="majorHAnsi" w:hAnsiTheme="majorHAnsi" w:cstheme="majorHAnsi"/>
        </w:rPr>
        <w:t>1</w:t>
      </w:r>
      <w:r w:rsidR="001A3D0C">
        <w:rPr>
          <w:rFonts w:asciiTheme="majorHAnsi" w:hAnsiTheme="majorHAnsi" w:cstheme="majorHAnsi"/>
        </w:rPr>
        <w:t>,</w:t>
      </w:r>
      <w:r w:rsidRPr="00A5344E">
        <w:rPr>
          <w:rFonts w:asciiTheme="majorHAnsi" w:hAnsiTheme="majorHAnsi" w:cstheme="majorHAnsi"/>
        </w:rPr>
        <w:t xml:space="preserve">5 </w:t>
      </w:r>
      <w:r w:rsidR="00144695">
        <w:rPr>
          <w:rFonts w:asciiTheme="majorHAnsi" w:hAnsiTheme="majorHAnsi" w:cstheme="majorHAnsi"/>
        </w:rPr>
        <w:t>Millionen</w:t>
      </w:r>
      <w:r w:rsidRPr="00A5344E">
        <w:rPr>
          <w:rFonts w:asciiTheme="majorHAnsi" w:hAnsiTheme="majorHAnsi" w:cstheme="majorHAnsi"/>
        </w:rPr>
        <w:t>. Die Abnahme ist vor allem auf die Auswirkungen der Steuergesetzrevision 2021 (in Kraft seit 01.01.2020) und die damit verbundene Umsetzung des Bundesgesetzes über die Steuerreform und die AHV-Finanzierung (STAF) sowie die allgemeine Neubewertung (AN20) der Grundstücke und Wasserkräfte und die sich daraus ergebende Anpassung der amtlichen Werte im Steuerjahr 2020 zurückzuführen.</w:t>
      </w:r>
    </w:p>
    <w:p w14:paraId="706F4A5B" w14:textId="77777777" w:rsidR="008270AB" w:rsidRPr="00A5344E" w:rsidRDefault="008270AB" w:rsidP="00D76B50">
      <w:pPr>
        <w:rPr>
          <w:rFonts w:asciiTheme="majorHAnsi" w:hAnsiTheme="majorHAnsi" w:cstheme="majorHAnsi"/>
        </w:rPr>
      </w:pPr>
    </w:p>
    <w:p w14:paraId="2C09C809" w14:textId="0AC3E3DB" w:rsidR="004E4BBE" w:rsidRPr="00A5344E" w:rsidRDefault="004E4BBE" w:rsidP="00D76B50">
      <w:pPr>
        <w:rPr>
          <w:rFonts w:asciiTheme="majorHAnsi" w:hAnsiTheme="majorHAnsi" w:cstheme="majorHAnsi"/>
        </w:rPr>
      </w:pPr>
      <w:r w:rsidRPr="00A5344E">
        <w:rPr>
          <w:rFonts w:asciiTheme="majorHAnsi" w:hAnsiTheme="majorHAnsi" w:cstheme="majorHAnsi"/>
        </w:rPr>
        <w:lastRenderedPageBreak/>
        <w:t xml:space="preserve">Die horizontalen Zahlungen im Finanzausgleich (Disparitätenabbau) sind hier nicht sichtbar, da sie über alle Gemeinden per Saldo Null ergeben. In der Analyse nach einzelnen Gemeindegruppen (siehe </w:t>
      </w:r>
      <w:r w:rsidR="00D21982" w:rsidRPr="00A5344E">
        <w:rPr>
          <w:rFonts w:asciiTheme="majorHAnsi" w:hAnsiTheme="majorHAnsi" w:cstheme="majorHAnsi"/>
        </w:rPr>
        <w:t xml:space="preserve">Kapitel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_Ref185250340 \r \h </w:instrText>
      </w:r>
      <w:r w:rsidR="00984F56" w:rsidRP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4</w:t>
      </w:r>
      <w:r w:rsidR="00D21982" w:rsidRPr="00A5344E">
        <w:rPr>
          <w:rFonts w:asciiTheme="majorHAnsi" w:hAnsiTheme="majorHAnsi" w:cstheme="majorHAnsi"/>
        </w:rPr>
        <w:fldChar w:fldCharType="end"/>
      </w:r>
      <w:r w:rsidRPr="00A5344E">
        <w:rPr>
          <w:rFonts w:asciiTheme="majorHAnsi" w:hAnsiTheme="majorHAnsi" w:cstheme="majorHAnsi"/>
        </w:rPr>
        <w:t>) wird der Disparitätenabbau dann mitberücksichtigt.</w:t>
      </w:r>
    </w:p>
    <w:p w14:paraId="2A1E93EB" w14:textId="77777777" w:rsidR="004E4BBE" w:rsidRPr="00A5344E" w:rsidRDefault="004E4BBE" w:rsidP="004E4BBE">
      <w:pPr>
        <w:pStyle w:val="berschrift2nummeriert"/>
        <w:rPr>
          <w:rFonts w:cstheme="majorHAnsi"/>
        </w:rPr>
      </w:pPr>
      <w:bookmarkStart w:id="11" w:name="_Toc191888233"/>
      <w:r w:rsidRPr="00A5344E">
        <w:rPr>
          <w:rFonts w:cstheme="majorHAnsi"/>
        </w:rPr>
        <w:t>Massnahmen für besonders belastete Gemeinden</w:t>
      </w:r>
      <w:bookmarkEnd w:id="11"/>
    </w:p>
    <w:p w14:paraId="073154AF" w14:textId="43317C01"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b/>
          <w:bCs w:val="0"/>
        </w:rPr>
        <w:t>Pauschale Abgeltung der Zentrumslasten</w:t>
      </w:r>
      <w:r w:rsidRPr="00A5344E">
        <w:rPr>
          <w:rFonts w:asciiTheme="majorHAnsi" w:hAnsiTheme="majorHAnsi" w:cstheme="majorHAnsi"/>
        </w:rPr>
        <w:t>: Die Gemeinden Bern, Biel und Thun erhalten einen jährlichen Zuschuss zur teilweisen Abgeltung ihrer überdurchschnittlich hohen Zentrumslasten in den Aufgabenbereichen privater Verkehr, öffentliche Sicherheit, Gästeinfrastruktur, Sport, soziale Sicherheit und Kultur (Art. 15 FILAG).</w:t>
      </w:r>
      <w:r w:rsidR="00C35399" w:rsidRPr="00C35399">
        <w:t xml:space="preserve"> </w:t>
      </w:r>
      <w:r w:rsidR="00C35399" w:rsidRPr="00C35399">
        <w:rPr>
          <w:rFonts w:asciiTheme="majorHAnsi" w:hAnsiTheme="majorHAnsi" w:cstheme="majorHAnsi"/>
        </w:rPr>
        <w:t>Dafür wird seit dem Jahr 2019 unverändert ein Gesamtbetrag von CHF 90,8 Millionen eingesetzt.</w:t>
      </w:r>
    </w:p>
    <w:p w14:paraId="0A8A5F5F" w14:textId="62B3B92A"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b/>
          <w:bCs w:val="0"/>
        </w:rPr>
        <w:t>Berücksichtigung der Zentrumslasten bei der Berechnung des Finanzausgleichs</w:t>
      </w:r>
      <w:r w:rsidRPr="00A5344E">
        <w:rPr>
          <w:rFonts w:asciiTheme="majorHAnsi" w:hAnsiTheme="majorHAnsi" w:cstheme="majorHAnsi"/>
        </w:rPr>
        <w:t xml:space="preserve">: Die Gemeinden Bern, Biel, Thun, Burgdorf und Langenthal können die nach Abzug der pauschalen Abgeltung verbleibenden Zentrumslasten bei der Berechnung des Finanzausgleichs in Abzug bringen (Art. 14 FILAG). Dieser Abzug wirkt sich im direkten Finanzausgleich aus, wird aber in der laufenden Analyse des FILAG nicht gesondert ausgewiesen. </w:t>
      </w:r>
      <w:r w:rsidR="00B54E42" w:rsidRPr="00B54E42">
        <w:rPr>
          <w:rFonts w:asciiTheme="majorHAnsi" w:hAnsiTheme="majorHAnsi" w:cstheme="majorHAnsi"/>
        </w:rPr>
        <w:t>Die Abzüge im direkten Finanzausgleich betragen seit dem Jahr 2019 unverändert CHF 67,2 Millionen</w:t>
      </w:r>
      <w:r w:rsidRPr="00A5344E">
        <w:rPr>
          <w:rFonts w:asciiTheme="majorHAnsi" w:hAnsiTheme="majorHAnsi" w:cstheme="majorHAnsi"/>
        </w:rPr>
        <w:t>.</w:t>
      </w:r>
    </w:p>
    <w:p w14:paraId="79796FEA" w14:textId="49CD3861"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b/>
          <w:bCs w:val="0"/>
        </w:rPr>
        <w:t>Geografisch-topografischer Zuschuss</w:t>
      </w:r>
      <w:r w:rsidRPr="00A5344E">
        <w:rPr>
          <w:rFonts w:asciiTheme="majorHAnsi" w:hAnsiTheme="majorHAnsi" w:cstheme="majorHAnsi"/>
        </w:rPr>
        <w:t>: Gemeinden mit übermässigen geografisch-topografischen Lasten erhalten einen Zuschuss (Art. 18 FILAG). Der Betrag für das Jahr 2024 beläuft sich auf CHF 38,1 Millionen.</w:t>
      </w:r>
    </w:p>
    <w:p w14:paraId="0408F593" w14:textId="7D5A3C55" w:rsidR="004E4BBE" w:rsidRPr="00132158" w:rsidRDefault="004E4BBE" w:rsidP="00000432">
      <w:pPr>
        <w:pStyle w:val="Aufzhlungszeichen"/>
        <w:contextualSpacing w:val="0"/>
        <w:rPr>
          <w:rFonts w:asciiTheme="majorHAnsi" w:hAnsiTheme="majorHAnsi" w:cstheme="majorHAnsi"/>
        </w:rPr>
      </w:pPr>
      <w:r w:rsidRPr="00132158">
        <w:rPr>
          <w:rFonts w:asciiTheme="majorHAnsi" w:hAnsiTheme="majorHAnsi" w:cstheme="majorHAnsi"/>
          <w:b/>
          <w:bCs w:val="0"/>
        </w:rPr>
        <w:t>Soziodemografischer Zuschuss</w:t>
      </w:r>
      <w:r w:rsidRPr="00132158">
        <w:rPr>
          <w:rFonts w:asciiTheme="majorHAnsi" w:hAnsiTheme="majorHAnsi" w:cstheme="majorHAnsi"/>
        </w:rPr>
        <w:t xml:space="preserve">: Gemeinden bezahlen bei ausgewählten Angeboten der institutionellen Sozialhilfe (familienergänzende Kinderbetreuung, offene Kinder- und Jugendarbeit, Gemeinschaftszentren) einen Selbstbehalt von 20 Prozent. Zur Abfederung dieses Selbstbehaltes wurde der soziodemografische </w:t>
      </w:r>
      <w:r w:rsidR="000D6EF6">
        <w:rPr>
          <w:rFonts w:asciiTheme="majorHAnsi" w:hAnsiTheme="majorHAnsi" w:cstheme="majorHAnsi"/>
        </w:rPr>
        <w:t>Zuschuss</w:t>
      </w:r>
      <w:r w:rsidRPr="00132158">
        <w:rPr>
          <w:rFonts w:asciiTheme="majorHAnsi" w:hAnsiTheme="majorHAnsi" w:cstheme="majorHAnsi"/>
        </w:rPr>
        <w:t xml:space="preserve"> eingeführt (Art. 21a ff. FILAG). Der Betrag dafür beläuft sich im Jahr 2024 auf CHF 17</w:t>
      </w:r>
      <w:r w:rsidR="00132158" w:rsidRPr="00132158">
        <w:rPr>
          <w:rFonts w:asciiTheme="majorHAnsi" w:hAnsiTheme="majorHAnsi" w:cstheme="majorHAnsi"/>
        </w:rPr>
        <w:t>,0</w:t>
      </w:r>
      <w:r w:rsidRPr="00132158">
        <w:rPr>
          <w:rFonts w:asciiTheme="majorHAnsi" w:hAnsiTheme="majorHAnsi" w:cstheme="majorHAnsi"/>
        </w:rPr>
        <w:t xml:space="preserve"> Millionen.</w:t>
      </w:r>
    </w:p>
    <w:p w14:paraId="2ADA408D" w14:textId="77777777" w:rsidR="004E4BBE" w:rsidRPr="00A5344E" w:rsidRDefault="004E4BBE" w:rsidP="004E4BBE">
      <w:pPr>
        <w:pStyle w:val="berschrift2nummeriert"/>
        <w:rPr>
          <w:rFonts w:cstheme="majorHAnsi"/>
        </w:rPr>
      </w:pPr>
      <w:bookmarkStart w:id="12" w:name="_Toc191888234"/>
      <w:r w:rsidRPr="00A5344E">
        <w:rPr>
          <w:rFonts w:cstheme="majorHAnsi"/>
        </w:rPr>
        <w:t>Entwicklung der Disparitäten in der Steuerkraft der Gemeinden</w:t>
      </w:r>
      <w:bookmarkEnd w:id="12"/>
    </w:p>
    <w:p w14:paraId="15C8FF7F" w14:textId="4D4C57AF"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Der Finanzausgleich verfolgt explizit das Ziel des Disparitätenabbaus, d. h. der Verringerung der Unterschiede in der finanziellen Leistungsfähigkeit zwischen den Gemeinden. Dabei muss zwischen einer kurz- und einer langfristigen Betrachtung unterschieden werden. Das kurzfristige Ziel besteht darin, dass alle Gemeinden genügend Mittel besitzen, um die ihnen übertragenen Aufgaben wahrnehmen zu können. Dies geschieht durch Transferzahlungen der ressourcenstarken Gemeinden und des Kantons an die ressourcenschwachen Gemeinden. Wenn die ressourcenstarken Gemeinden einen Teil ihrer Mittel an die ressourcenschwachen Gemeinden abgeben, führt dies automatisch zu einem Disparitätenabbau aufgrund des Finanzausgleichs. Nachfolgende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_Ref183417823 \h </w:instrText>
      </w:r>
      <w:r w:rsidR="00984F56" w:rsidRP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Abbildung 2</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w:t>
      </w:r>
      <w:r w:rsidRPr="00A5344E">
        <w:rPr>
          <w:rFonts w:asciiTheme="majorHAnsi" w:hAnsiTheme="majorHAnsi" w:cstheme="majorHAnsi"/>
        </w:rPr>
        <w:t>zeigt die Nettozahlungen bzw. Nettozuflüsse pro Gemeinde. Auffallend ist, dass die Zahlergemeinden in der Tendenz eher urban geprägt sind. Folglich findet beim Disparitätenabbau eine Umverteilung von urbanen zu ländlichen Gemeinden statt.</w:t>
      </w:r>
    </w:p>
    <w:p w14:paraId="1686224C" w14:textId="135E1703" w:rsidR="004E4BBE" w:rsidRPr="00A5344E" w:rsidRDefault="004E4BBE" w:rsidP="00984F56">
      <w:pPr>
        <w:pStyle w:val="Beschriftung"/>
        <w:keepNext/>
        <w:ind w:left="1418" w:hanging="1418"/>
        <w:jc w:val="both"/>
        <w:rPr>
          <w:rFonts w:asciiTheme="majorHAnsi" w:hAnsiTheme="majorHAnsi" w:cstheme="majorHAnsi"/>
          <w:b/>
          <w:bCs w:val="0"/>
        </w:rPr>
      </w:pPr>
      <w:bookmarkStart w:id="13" w:name="_Ref183417823"/>
      <w:r w:rsidRPr="00A5344E">
        <w:rPr>
          <w:rFonts w:asciiTheme="majorHAnsi" w:hAnsiTheme="majorHAnsi" w:cstheme="majorHAnsi"/>
          <w:b/>
          <w:bCs w:val="0"/>
        </w:rPr>
        <w:lastRenderedPageBreak/>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2</w:t>
      </w:r>
      <w:r w:rsidR="007732EE" w:rsidRPr="00A5344E">
        <w:rPr>
          <w:rFonts w:asciiTheme="majorHAnsi" w:hAnsiTheme="majorHAnsi" w:cstheme="majorHAnsi"/>
          <w:b/>
          <w:bCs w:val="0"/>
        </w:rPr>
        <w:fldChar w:fldCharType="end"/>
      </w:r>
      <w:bookmarkEnd w:id="13"/>
      <w:r w:rsidRPr="00A5344E">
        <w:rPr>
          <w:rFonts w:asciiTheme="majorHAnsi" w:hAnsiTheme="majorHAnsi" w:cstheme="majorHAnsi"/>
          <w:b/>
          <w:bCs w:val="0"/>
        </w:rPr>
        <w:t>:</w:t>
      </w:r>
      <w:r w:rsidRPr="00A5344E">
        <w:rPr>
          <w:rFonts w:asciiTheme="majorHAnsi" w:hAnsiTheme="majorHAnsi" w:cstheme="majorHAnsi"/>
          <w:b/>
          <w:bCs w:val="0"/>
        </w:rPr>
        <w:tab/>
        <w:t>Finanzausgleich und Massnahmen für besonders belastete Gemeinden, Nettozahlungen/Nettozuflüsse pro Gemeinde</w:t>
      </w:r>
    </w:p>
    <w:p w14:paraId="32DE7F19" w14:textId="77777777" w:rsidR="004E4BBE" w:rsidRPr="00A5344E" w:rsidRDefault="004E4BBE" w:rsidP="004E4BBE">
      <w:pPr>
        <w:pStyle w:val="Textkrper"/>
        <w:keepNext/>
        <w:rPr>
          <w:rFonts w:asciiTheme="majorHAnsi" w:hAnsiTheme="majorHAnsi" w:cstheme="majorHAnsi"/>
        </w:rPr>
      </w:pPr>
      <w:r w:rsidRPr="00A5344E">
        <w:rPr>
          <w:rFonts w:asciiTheme="majorHAnsi" w:hAnsiTheme="majorHAnsi" w:cstheme="majorHAnsi"/>
          <w:noProof/>
        </w:rPr>
        <w:drawing>
          <wp:inline distT="0" distB="0" distL="0" distR="0" wp14:anchorId="1CBEB27C" wp14:editId="5AD1EEB3">
            <wp:extent cx="5255895" cy="6125845"/>
            <wp:effectExtent l="0" t="0" r="1905" b="8255"/>
            <wp:docPr id="784200670" name="Grafik 1"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77706" name="Grafik 1" descr="Ein Bild, das Text, Karte enthält.&#10;&#10;Automatisch generierte Beschreibung"/>
                    <pic:cNvPicPr/>
                  </pic:nvPicPr>
                  <pic:blipFill>
                    <a:blip r:embed="rId10"/>
                    <a:stretch>
                      <a:fillRect/>
                    </a:stretch>
                  </pic:blipFill>
                  <pic:spPr>
                    <a:xfrm>
                      <a:off x="0" y="0"/>
                      <a:ext cx="5255895" cy="6125845"/>
                    </a:xfrm>
                    <a:prstGeom prst="rect">
                      <a:avLst/>
                    </a:prstGeom>
                  </pic:spPr>
                </pic:pic>
              </a:graphicData>
            </a:graphic>
          </wp:inline>
        </w:drawing>
      </w:r>
    </w:p>
    <w:p w14:paraId="2BC844B8" w14:textId="77777777" w:rsidR="004E4BBE" w:rsidRPr="00A5344E" w:rsidRDefault="004E4BBE" w:rsidP="004E4BBE">
      <w:pPr>
        <w:rPr>
          <w:rFonts w:asciiTheme="majorHAnsi" w:hAnsiTheme="majorHAnsi" w:cstheme="majorHAnsi"/>
        </w:rPr>
      </w:pPr>
    </w:p>
    <w:p w14:paraId="65D38376" w14:textId="5CE5CD6F" w:rsidR="004E4BBE" w:rsidRPr="00A5344E" w:rsidRDefault="00116E6E" w:rsidP="004E4BBE">
      <w:pPr>
        <w:rPr>
          <w:rFonts w:asciiTheme="majorHAnsi" w:hAnsiTheme="majorHAnsi" w:cstheme="majorHAnsi"/>
        </w:rPr>
      </w:pPr>
      <w:r>
        <w:rPr>
          <w:rFonts w:asciiTheme="majorHAnsi" w:hAnsiTheme="majorHAnsi" w:cstheme="majorHAnsi"/>
        </w:rPr>
        <w:t>Spannend</w:t>
      </w:r>
      <w:r w:rsidRPr="00A5344E">
        <w:rPr>
          <w:rFonts w:asciiTheme="majorHAnsi" w:hAnsiTheme="majorHAnsi" w:cstheme="majorHAnsi"/>
        </w:rPr>
        <w:t xml:space="preserve"> </w:t>
      </w:r>
      <w:r w:rsidR="004E4BBE" w:rsidRPr="00A5344E">
        <w:rPr>
          <w:rFonts w:asciiTheme="majorHAnsi" w:hAnsiTheme="majorHAnsi" w:cstheme="majorHAnsi"/>
        </w:rPr>
        <w:t>ist</w:t>
      </w:r>
      <w:r>
        <w:rPr>
          <w:rFonts w:asciiTheme="majorHAnsi" w:hAnsiTheme="majorHAnsi" w:cstheme="majorHAnsi"/>
        </w:rPr>
        <w:t xml:space="preserve"> auch</w:t>
      </w:r>
      <w:r w:rsidR="004E4BBE" w:rsidRPr="00A5344E">
        <w:rPr>
          <w:rFonts w:asciiTheme="majorHAnsi" w:hAnsiTheme="majorHAnsi" w:cstheme="majorHAnsi"/>
        </w:rPr>
        <w:t xml:space="preserve"> die mittel- bis langfristige Betrachtung. Die ressourcenschwachen Gemeinden haben die Möglichkeit, mit den Mitteln aus dem Finanzausgleich ihre Attraktivität und somit auch ihre finanzielle Leistungsfähigkeit nachhaltig zu verbessern, indem ihre Steuerbasis wächst. Dazu stehen ihnen drei </w:t>
      </w:r>
      <w:r>
        <w:rPr>
          <w:rFonts w:asciiTheme="majorHAnsi" w:hAnsiTheme="majorHAnsi" w:cstheme="majorHAnsi"/>
        </w:rPr>
        <w:t>Möglichkeiten</w:t>
      </w:r>
      <w:r w:rsidRPr="00A5344E">
        <w:rPr>
          <w:rFonts w:asciiTheme="majorHAnsi" w:hAnsiTheme="majorHAnsi" w:cstheme="majorHAnsi"/>
        </w:rPr>
        <w:t xml:space="preserve"> </w:t>
      </w:r>
      <w:r w:rsidR="004E4BBE" w:rsidRPr="00A5344E">
        <w:rPr>
          <w:rFonts w:asciiTheme="majorHAnsi" w:hAnsiTheme="majorHAnsi" w:cstheme="majorHAnsi"/>
        </w:rPr>
        <w:t>zur Verfügung: Steuersenkung, Schuldenabbau und Ausgaben (z. B. für Infrastrukturausbau). Wenn die ergriffenen Massnahmen erfolgreich sind, sollten sie einen positiven Effekt auf die Steuerbasis entfalten und damit die Disparitäten zwischen den Gemeinden verringern.</w:t>
      </w:r>
    </w:p>
    <w:p w14:paraId="77905259" w14:textId="77777777" w:rsidR="008270AB" w:rsidRPr="00A5344E" w:rsidRDefault="008270AB" w:rsidP="004E4BBE">
      <w:pPr>
        <w:rPr>
          <w:rFonts w:asciiTheme="majorHAnsi" w:hAnsiTheme="majorHAnsi" w:cstheme="majorHAnsi"/>
        </w:rPr>
      </w:pPr>
    </w:p>
    <w:p w14:paraId="26470FAC" w14:textId="6651A470" w:rsidR="00827FD3" w:rsidRDefault="004E4BBE" w:rsidP="00984F56">
      <w:pPr>
        <w:rPr>
          <w:rFonts w:asciiTheme="majorHAnsi" w:hAnsiTheme="majorHAnsi" w:cstheme="majorHAnsi"/>
        </w:rPr>
      </w:pPr>
      <w:r w:rsidRPr="00A5344E">
        <w:rPr>
          <w:rFonts w:asciiTheme="majorHAnsi" w:hAnsiTheme="majorHAnsi" w:cstheme="majorHAnsi"/>
        </w:rPr>
        <w:t>Die Unterschiede in der finanziellen Leistungsfähigkeit werden indessen durch weitere Faktoren bestimmt, welche die Gemeinden kaum oder gar nicht beeinflussen können. Ein wichtiger Faktor ist dabei die Konjunktur. Diese beeinflusst die Gemeinden vielfach unterschiedlich und führt zu Veränderungen bei der Ressourcenstärke.</w:t>
      </w:r>
    </w:p>
    <w:p w14:paraId="2FD5B3C9" w14:textId="77777777" w:rsidR="00F6654E" w:rsidRPr="00A5344E" w:rsidRDefault="00F6654E" w:rsidP="00984F56">
      <w:pPr>
        <w:rPr>
          <w:rFonts w:asciiTheme="majorHAnsi" w:hAnsiTheme="majorHAnsi" w:cstheme="majorHAnsi"/>
        </w:rPr>
      </w:pPr>
    </w:p>
    <w:p w14:paraId="35E71DF2" w14:textId="6C7D843D" w:rsidR="00984F56" w:rsidRPr="00A5344E" w:rsidRDefault="00984F56" w:rsidP="00984F56">
      <w:pPr>
        <w:rPr>
          <w:rFonts w:asciiTheme="majorHAnsi" w:eastAsia="Arial" w:hAnsiTheme="majorHAnsi" w:cstheme="majorHAnsi"/>
          <w:spacing w:val="0"/>
          <w:szCs w:val="21"/>
        </w:rPr>
      </w:pPr>
      <w:r w:rsidRPr="00A5344E">
        <w:rPr>
          <w:rFonts w:asciiTheme="majorHAnsi" w:hAnsiTheme="majorHAnsi" w:cstheme="majorHAnsi"/>
        </w:rPr>
        <w:br w:type="page"/>
      </w:r>
    </w:p>
    <w:p w14:paraId="15F39AD0" w14:textId="77777777" w:rsidR="004E4BBE" w:rsidRPr="00A5344E" w:rsidRDefault="004E4BBE" w:rsidP="004E4BBE">
      <w:pPr>
        <w:pStyle w:val="H1"/>
        <w:rPr>
          <w:rFonts w:cstheme="majorHAnsi"/>
        </w:rPr>
      </w:pPr>
      <w:bookmarkStart w:id="14" w:name="_Ref185250143"/>
      <w:bookmarkStart w:id="15" w:name="_Toc191888235"/>
      <w:r w:rsidRPr="00A5344E">
        <w:rPr>
          <w:rFonts w:cstheme="majorHAnsi"/>
        </w:rPr>
        <w:lastRenderedPageBreak/>
        <w:t>Lastenausgleichssysteme</w:t>
      </w:r>
      <w:bookmarkEnd w:id="14"/>
      <w:bookmarkEnd w:id="15"/>
    </w:p>
    <w:p w14:paraId="66A3322E" w14:textId="77777777" w:rsidR="004E4BBE" w:rsidRPr="00A5344E" w:rsidRDefault="004E4BBE" w:rsidP="004E4BBE">
      <w:pPr>
        <w:pStyle w:val="berschrift2nummeriert"/>
        <w:rPr>
          <w:rFonts w:cstheme="majorHAnsi"/>
        </w:rPr>
      </w:pPr>
      <w:bookmarkStart w:id="16" w:name="_Toc191888236"/>
      <w:r w:rsidRPr="00A5344E">
        <w:rPr>
          <w:rFonts w:cstheme="majorHAnsi"/>
        </w:rPr>
        <w:t>Überblick</w:t>
      </w:r>
      <w:bookmarkEnd w:id="16"/>
    </w:p>
    <w:p w14:paraId="17BEFCE9" w14:textId="16B8E1FA" w:rsidR="004E4BBE" w:rsidRPr="00A5344E" w:rsidRDefault="00AE456E" w:rsidP="004E4BBE">
      <w:pPr>
        <w:rPr>
          <w:rFonts w:asciiTheme="majorHAnsi" w:hAnsiTheme="majorHAnsi" w:cstheme="majorHAnsi"/>
        </w:rPr>
      </w:pPr>
      <w:r w:rsidRPr="00A5344E">
        <w:rPr>
          <w:rFonts w:asciiTheme="majorHAnsi" w:hAnsiTheme="majorHAnsi" w:cstheme="majorHAnsi"/>
        </w:rPr>
        <w:fldChar w:fldCharType="begin"/>
      </w:r>
      <w:r w:rsidRPr="00A5344E">
        <w:rPr>
          <w:rFonts w:asciiTheme="majorHAnsi" w:hAnsiTheme="majorHAnsi" w:cstheme="majorHAnsi"/>
        </w:rPr>
        <w:instrText xml:space="preserve"> REF _Ref185250428 \h  \* MERGEFORMAT </w:instrText>
      </w:r>
      <w:r w:rsidRPr="00A5344E">
        <w:rPr>
          <w:rFonts w:asciiTheme="majorHAnsi" w:hAnsiTheme="majorHAnsi" w:cstheme="majorHAnsi"/>
        </w:rPr>
      </w:r>
      <w:r w:rsidRPr="00A5344E">
        <w:rPr>
          <w:rFonts w:asciiTheme="majorHAnsi" w:hAnsiTheme="majorHAnsi" w:cstheme="majorHAnsi"/>
        </w:rPr>
        <w:fldChar w:fldCharType="separate"/>
      </w:r>
      <w:r w:rsidRPr="00A5344E">
        <w:rPr>
          <w:rFonts w:asciiTheme="majorHAnsi" w:hAnsiTheme="majorHAnsi" w:cstheme="majorHAnsi"/>
        </w:rPr>
        <w:t xml:space="preserve">Abbildung </w:t>
      </w:r>
      <w:r>
        <w:rPr>
          <w:rFonts w:asciiTheme="majorHAnsi" w:hAnsiTheme="majorHAnsi" w:cstheme="majorHAnsi"/>
        </w:rPr>
        <w:t>3</w:t>
      </w:r>
      <w:r w:rsidRPr="00A5344E">
        <w:rPr>
          <w:rFonts w:asciiTheme="majorHAnsi" w:hAnsiTheme="majorHAnsi" w:cstheme="majorHAnsi"/>
        </w:rPr>
        <w:fldChar w:fldCharType="end"/>
      </w:r>
      <w:r w:rsidRPr="00A5344E">
        <w:rPr>
          <w:rFonts w:asciiTheme="majorHAnsi" w:hAnsiTheme="majorHAnsi" w:cstheme="majorHAnsi"/>
        </w:rPr>
        <w:t xml:space="preserve"> </w:t>
      </w:r>
      <w:r w:rsidR="004E4BBE" w:rsidRPr="00A5344E">
        <w:rPr>
          <w:rFonts w:asciiTheme="majorHAnsi" w:hAnsiTheme="majorHAnsi" w:cstheme="majorHAnsi"/>
        </w:rPr>
        <w:t>zeig</w:t>
      </w:r>
      <w:r w:rsidR="00D21982" w:rsidRPr="00A5344E">
        <w:rPr>
          <w:rFonts w:asciiTheme="majorHAnsi" w:hAnsiTheme="majorHAnsi" w:cstheme="majorHAnsi"/>
        </w:rPr>
        <w:t>t</w:t>
      </w:r>
      <w:r w:rsidR="004E4BBE" w:rsidRPr="00A5344E">
        <w:rPr>
          <w:rFonts w:asciiTheme="majorHAnsi" w:hAnsiTheme="majorHAnsi" w:cstheme="majorHAnsi"/>
        </w:rPr>
        <w:t xml:space="preserve"> die Entwicklung der Belastung der Gemeinden durch die Lastenausgleichssysteme im Zeitraum 2020 bis 2024. Die Belastung der Gemeinden durch die Lastenausgleichssysteme ist in den Jahren 2020 bis 2024 kontinuierlich gestiegen. Der Kostenanstieg von CHF 1'47</w:t>
      </w:r>
      <w:r w:rsidR="00E030D4">
        <w:rPr>
          <w:rFonts w:asciiTheme="majorHAnsi" w:hAnsiTheme="majorHAnsi" w:cstheme="majorHAnsi"/>
        </w:rPr>
        <w:t>2</w:t>
      </w:r>
      <w:r w:rsidR="004E4BBE" w:rsidRPr="00A5344E">
        <w:rPr>
          <w:rFonts w:asciiTheme="majorHAnsi" w:hAnsiTheme="majorHAnsi" w:cstheme="majorHAnsi"/>
        </w:rPr>
        <w:t xml:space="preserve"> Millionen im Jahr 2020 auf CHF 1'622 Millionen im Jahr 2024 verteilt sich grösstenteils auf die </w:t>
      </w:r>
      <w:r w:rsidR="004E4BBE" w:rsidRPr="00F978FE">
        <w:rPr>
          <w:rFonts w:asciiTheme="majorHAnsi" w:hAnsiTheme="majorHAnsi" w:cstheme="majorHAnsi"/>
        </w:rPr>
        <w:t xml:space="preserve">zwei Bereiche </w:t>
      </w:r>
      <w:r w:rsidR="001944E1" w:rsidRPr="00F978FE">
        <w:rPr>
          <w:rFonts w:asciiTheme="majorHAnsi" w:hAnsiTheme="majorHAnsi" w:cstheme="majorHAnsi"/>
        </w:rPr>
        <w:t>Soziales</w:t>
      </w:r>
      <w:r w:rsidR="004E4BBE" w:rsidRPr="00F978FE">
        <w:rPr>
          <w:rFonts w:asciiTheme="majorHAnsi" w:hAnsiTheme="majorHAnsi" w:cstheme="majorHAnsi"/>
        </w:rPr>
        <w:t xml:space="preserve"> </w:t>
      </w:r>
      <w:r w:rsidR="004E4BBE" w:rsidRPr="00A5344E">
        <w:rPr>
          <w:rFonts w:asciiTheme="majorHAnsi" w:hAnsiTheme="majorHAnsi" w:cstheme="majorHAnsi"/>
        </w:rPr>
        <w:t>(CHF +57</w:t>
      </w:r>
      <w:r w:rsidR="00444127" w:rsidRPr="00A5344E">
        <w:rPr>
          <w:rFonts w:asciiTheme="majorHAnsi" w:hAnsiTheme="majorHAnsi" w:cstheme="majorHAnsi"/>
        </w:rPr>
        <w:t>,</w:t>
      </w:r>
      <w:r w:rsidR="004E4BBE" w:rsidRPr="00A5344E">
        <w:rPr>
          <w:rFonts w:asciiTheme="majorHAnsi" w:hAnsiTheme="majorHAnsi" w:cstheme="majorHAnsi"/>
        </w:rPr>
        <w:t>9 Mio.) und Lehrergehälter (CHF +56</w:t>
      </w:r>
      <w:r w:rsidR="00444127" w:rsidRPr="00A5344E">
        <w:rPr>
          <w:rFonts w:asciiTheme="majorHAnsi" w:hAnsiTheme="majorHAnsi" w:cstheme="majorHAnsi"/>
        </w:rPr>
        <w:t>,</w:t>
      </w:r>
      <w:r w:rsidR="004E4BBE" w:rsidRPr="00A5344E">
        <w:rPr>
          <w:rFonts w:asciiTheme="majorHAnsi" w:hAnsiTheme="majorHAnsi" w:cstheme="majorHAnsi"/>
        </w:rPr>
        <w:t>6 Mio.).</w:t>
      </w:r>
    </w:p>
    <w:p w14:paraId="62A9DB71" w14:textId="77777777" w:rsidR="00984F56" w:rsidRPr="00A5344E" w:rsidRDefault="00984F56" w:rsidP="004E4BBE">
      <w:pPr>
        <w:rPr>
          <w:rFonts w:asciiTheme="majorHAnsi" w:hAnsiTheme="majorHAnsi" w:cstheme="majorHAnsi"/>
        </w:rPr>
      </w:pPr>
    </w:p>
    <w:p w14:paraId="3B5FB22D" w14:textId="6A465145" w:rsidR="004E4BBE" w:rsidRPr="00A5344E" w:rsidRDefault="004E4BBE" w:rsidP="004E4BBE">
      <w:pPr>
        <w:pStyle w:val="Beschriftung"/>
        <w:keepNext/>
        <w:rPr>
          <w:rFonts w:asciiTheme="majorHAnsi" w:hAnsiTheme="majorHAnsi" w:cstheme="majorHAnsi"/>
          <w:b/>
          <w:bCs w:val="0"/>
        </w:rPr>
      </w:pPr>
      <w:bookmarkStart w:id="17" w:name="_Ref187939934"/>
      <w:r w:rsidRPr="00A5344E">
        <w:rPr>
          <w:rFonts w:asciiTheme="majorHAnsi" w:hAnsiTheme="majorHAnsi" w:cstheme="majorHAnsi"/>
          <w:b/>
          <w:bCs w:val="0"/>
        </w:rPr>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3</w:t>
      </w:r>
      <w:r w:rsidR="007732EE" w:rsidRPr="00A5344E">
        <w:rPr>
          <w:rFonts w:asciiTheme="majorHAnsi" w:hAnsiTheme="majorHAnsi" w:cstheme="majorHAnsi"/>
          <w:b/>
          <w:bCs w:val="0"/>
        </w:rPr>
        <w:fldChar w:fldCharType="end"/>
      </w:r>
      <w:bookmarkEnd w:id="17"/>
      <w:r w:rsidRPr="00A5344E">
        <w:rPr>
          <w:rFonts w:asciiTheme="majorHAnsi" w:hAnsiTheme="majorHAnsi" w:cstheme="majorHAnsi"/>
          <w:b/>
          <w:bCs w:val="0"/>
        </w:rPr>
        <w:t>:</w:t>
      </w:r>
      <w:r w:rsidRPr="00A5344E">
        <w:rPr>
          <w:rFonts w:asciiTheme="majorHAnsi" w:hAnsiTheme="majorHAnsi" w:cstheme="majorHAnsi"/>
          <w:b/>
          <w:bCs w:val="0"/>
        </w:rPr>
        <w:tab/>
        <w:t>Entwicklung der Lastenausgleiche von 2020</w:t>
      </w:r>
      <w:r w:rsidR="00E030D4">
        <w:rPr>
          <w:rFonts w:asciiTheme="majorHAnsi" w:hAnsiTheme="majorHAnsi" w:cstheme="majorHAnsi"/>
          <w:b/>
          <w:bCs w:val="0"/>
        </w:rPr>
        <w:t>–</w:t>
      </w:r>
      <w:r w:rsidRPr="00A5344E">
        <w:rPr>
          <w:rFonts w:asciiTheme="majorHAnsi" w:hAnsiTheme="majorHAnsi" w:cstheme="majorHAnsi"/>
          <w:b/>
          <w:bCs w:val="0"/>
        </w:rPr>
        <w:t>2024 – Anteile der Gemeinden (in CHF)</w:t>
      </w:r>
    </w:p>
    <w:tbl>
      <w:tblPr>
        <w:tblStyle w:val="Ecoplankombi"/>
        <w:tblW w:w="5000" w:type="pct"/>
        <w:tblLook w:val="04A0" w:firstRow="1" w:lastRow="0" w:firstColumn="1" w:lastColumn="0" w:noHBand="0" w:noVBand="1"/>
      </w:tblPr>
      <w:tblGrid>
        <w:gridCol w:w="2495"/>
        <w:gridCol w:w="1496"/>
        <w:gridCol w:w="1496"/>
        <w:gridCol w:w="1496"/>
        <w:gridCol w:w="1498"/>
        <w:gridCol w:w="1497"/>
      </w:tblGrid>
      <w:tr w:rsidR="004E4BBE" w:rsidRPr="00A5344E" w14:paraId="15AE1DBA"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249" w:type="pct"/>
            <w:noWrap/>
            <w:hideMark/>
          </w:tcPr>
          <w:p w14:paraId="61433213" w14:textId="77777777" w:rsidR="004E4BBE" w:rsidRPr="00A5344E" w:rsidRDefault="004E4BBE" w:rsidP="004E4BBE">
            <w:pPr>
              <w:pStyle w:val="Tabellentext"/>
              <w:rPr>
                <w:rFonts w:asciiTheme="majorHAnsi" w:hAnsiTheme="majorHAnsi" w:cstheme="majorHAnsi"/>
                <w:lang w:eastAsia="de-CH"/>
              </w:rPr>
            </w:pPr>
            <w:r w:rsidRPr="00A5344E">
              <w:rPr>
                <w:rFonts w:asciiTheme="majorHAnsi" w:hAnsiTheme="majorHAnsi" w:cstheme="majorHAnsi"/>
                <w:lang w:eastAsia="de-CH"/>
              </w:rPr>
              <w:t> </w:t>
            </w:r>
          </w:p>
        </w:tc>
        <w:tc>
          <w:tcPr>
            <w:tcW w:w="750" w:type="pct"/>
            <w:noWrap/>
            <w:hideMark/>
          </w:tcPr>
          <w:p w14:paraId="69E4F8EA"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2020</w:t>
            </w:r>
          </w:p>
        </w:tc>
        <w:tc>
          <w:tcPr>
            <w:tcW w:w="750" w:type="pct"/>
            <w:noWrap/>
            <w:hideMark/>
          </w:tcPr>
          <w:p w14:paraId="102E0612"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2021</w:t>
            </w:r>
          </w:p>
        </w:tc>
        <w:tc>
          <w:tcPr>
            <w:tcW w:w="750" w:type="pct"/>
            <w:noWrap/>
            <w:hideMark/>
          </w:tcPr>
          <w:p w14:paraId="50ABAAF1"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2022</w:t>
            </w:r>
          </w:p>
        </w:tc>
        <w:tc>
          <w:tcPr>
            <w:tcW w:w="751" w:type="pct"/>
            <w:noWrap/>
            <w:hideMark/>
          </w:tcPr>
          <w:p w14:paraId="64C9C78D"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2023</w:t>
            </w:r>
          </w:p>
        </w:tc>
        <w:tc>
          <w:tcPr>
            <w:tcW w:w="750" w:type="pct"/>
            <w:noWrap/>
            <w:hideMark/>
          </w:tcPr>
          <w:p w14:paraId="2BF94A8F"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2024</w:t>
            </w:r>
          </w:p>
        </w:tc>
      </w:tr>
      <w:tr w:rsidR="004E4BBE" w:rsidRPr="00A5344E" w14:paraId="6A43305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49" w:type="pct"/>
            <w:noWrap/>
            <w:hideMark/>
          </w:tcPr>
          <w:p w14:paraId="53B730E0"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Lehrergehälter</w:t>
            </w:r>
          </w:p>
        </w:tc>
        <w:tc>
          <w:tcPr>
            <w:tcW w:w="750" w:type="pct"/>
            <w:noWrap/>
            <w:hideMark/>
          </w:tcPr>
          <w:p w14:paraId="35DAE614"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385’358’587</w:t>
            </w:r>
          </w:p>
        </w:tc>
        <w:tc>
          <w:tcPr>
            <w:tcW w:w="750" w:type="pct"/>
            <w:noWrap/>
            <w:hideMark/>
          </w:tcPr>
          <w:p w14:paraId="29B96BE7"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399’519’702</w:t>
            </w:r>
          </w:p>
        </w:tc>
        <w:tc>
          <w:tcPr>
            <w:tcW w:w="750" w:type="pct"/>
            <w:noWrap/>
            <w:hideMark/>
          </w:tcPr>
          <w:p w14:paraId="496D4034"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411’452’067</w:t>
            </w:r>
          </w:p>
        </w:tc>
        <w:tc>
          <w:tcPr>
            <w:tcW w:w="751" w:type="pct"/>
            <w:noWrap/>
            <w:hideMark/>
          </w:tcPr>
          <w:p w14:paraId="7F44E912"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427’280’160</w:t>
            </w:r>
          </w:p>
        </w:tc>
        <w:tc>
          <w:tcPr>
            <w:tcW w:w="750" w:type="pct"/>
            <w:noWrap/>
            <w:hideMark/>
          </w:tcPr>
          <w:p w14:paraId="11AE641C"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442’003’640</w:t>
            </w:r>
          </w:p>
        </w:tc>
      </w:tr>
      <w:tr w:rsidR="00F978FE" w:rsidRPr="00F978FE" w14:paraId="5DA65F8F"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49" w:type="pct"/>
            <w:noWrap/>
            <w:hideMark/>
          </w:tcPr>
          <w:p w14:paraId="2EA2F704" w14:textId="236A89A5" w:rsidR="004E4BBE" w:rsidRPr="00F978FE" w:rsidRDefault="004E4BBE" w:rsidP="004E4BBE">
            <w:pPr>
              <w:pStyle w:val="Tabellentext"/>
              <w:rPr>
                <w:rFonts w:asciiTheme="majorHAnsi" w:hAnsiTheme="majorHAnsi" w:cstheme="majorHAnsi"/>
                <w:b/>
                <w:bCs/>
                <w:lang w:eastAsia="de-CH"/>
              </w:rPr>
            </w:pPr>
            <w:r w:rsidRPr="00F978FE">
              <w:rPr>
                <w:rFonts w:asciiTheme="majorHAnsi" w:hAnsiTheme="majorHAnsi" w:cstheme="majorHAnsi"/>
                <w:b/>
                <w:bCs/>
                <w:lang w:eastAsia="de-CH"/>
              </w:rPr>
              <w:t>LA S</w:t>
            </w:r>
            <w:r w:rsidR="001944E1" w:rsidRPr="00F978FE">
              <w:rPr>
                <w:rFonts w:asciiTheme="majorHAnsi" w:hAnsiTheme="majorHAnsi" w:cstheme="majorHAnsi"/>
                <w:b/>
                <w:bCs/>
                <w:lang w:eastAsia="de-CH"/>
              </w:rPr>
              <w:t>oziales</w:t>
            </w:r>
            <w:r w:rsidR="00F978FE">
              <w:rPr>
                <w:rFonts w:asciiTheme="majorHAnsi" w:hAnsiTheme="majorHAnsi" w:cstheme="majorHAnsi"/>
                <w:b/>
                <w:bCs/>
                <w:lang w:eastAsia="de-CH"/>
              </w:rPr>
              <w:t>/Sozialhilfe</w:t>
            </w:r>
          </w:p>
        </w:tc>
        <w:tc>
          <w:tcPr>
            <w:tcW w:w="750" w:type="pct"/>
            <w:noWrap/>
            <w:hideMark/>
          </w:tcPr>
          <w:p w14:paraId="3CEB13C5" w14:textId="77777777" w:rsidR="004E4BBE" w:rsidRPr="00F978FE" w:rsidRDefault="004E4BBE" w:rsidP="004E4BBE">
            <w:pPr>
              <w:pStyle w:val="Tabellentext"/>
              <w:jc w:val="right"/>
              <w:rPr>
                <w:rFonts w:asciiTheme="majorHAnsi" w:hAnsiTheme="majorHAnsi" w:cstheme="majorHAnsi"/>
                <w:lang w:eastAsia="de-CH"/>
              </w:rPr>
            </w:pPr>
            <w:r w:rsidRPr="00F978FE">
              <w:rPr>
                <w:rFonts w:asciiTheme="majorHAnsi" w:hAnsiTheme="majorHAnsi" w:cstheme="majorHAnsi"/>
              </w:rPr>
              <w:t>529’661’157</w:t>
            </w:r>
          </w:p>
        </w:tc>
        <w:tc>
          <w:tcPr>
            <w:tcW w:w="750" w:type="pct"/>
            <w:noWrap/>
            <w:hideMark/>
          </w:tcPr>
          <w:p w14:paraId="216232B4" w14:textId="77777777" w:rsidR="004E4BBE" w:rsidRPr="00F978FE" w:rsidRDefault="004E4BBE" w:rsidP="004E4BBE">
            <w:pPr>
              <w:pStyle w:val="Tabellentext"/>
              <w:jc w:val="right"/>
              <w:rPr>
                <w:rFonts w:asciiTheme="majorHAnsi" w:hAnsiTheme="majorHAnsi" w:cstheme="majorHAnsi"/>
                <w:lang w:eastAsia="de-CH"/>
              </w:rPr>
            </w:pPr>
            <w:r w:rsidRPr="00F978FE">
              <w:rPr>
                <w:rFonts w:asciiTheme="majorHAnsi" w:hAnsiTheme="majorHAnsi" w:cstheme="majorHAnsi"/>
              </w:rPr>
              <w:t>531’214’852</w:t>
            </w:r>
          </w:p>
        </w:tc>
        <w:tc>
          <w:tcPr>
            <w:tcW w:w="750" w:type="pct"/>
            <w:noWrap/>
            <w:hideMark/>
          </w:tcPr>
          <w:p w14:paraId="4F3FD777" w14:textId="77777777" w:rsidR="004E4BBE" w:rsidRPr="00F978FE" w:rsidRDefault="004E4BBE" w:rsidP="004E4BBE">
            <w:pPr>
              <w:pStyle w:val="Tabellentext"/>
              <w:jc w:val="right"/>
              <w:rPr>
                <w:rFonts w:asciiTheme="majorHAnsi" w:hAnsiTheme="majorHAnsi" w:cstheme="majorHAnsi"/>
                <w:lang w:eastAsia="de-CH"/>
              </w:rPr>
            </w:pPr>
            <w:r w:rsidRPr="00F978FE">
              <w:rPr>
                <w:rFonts w:asciiTheme="majorHAnsi" w:hAnsiTheme="majorHAnsi" w:cstheme="majorHAnsi"/>
              </w:rPr>
              <w:t>563’829’475</w:t>
            </w:r>
          </w:p>
        </w:tc>
        <w:tc>
          <w:tcPr>
            <w:tcW w:w="751" w:type="pct"/>
            <w:noWrap/>
            <w:hideMark/>
          </w:tcPr>
          <w:p w14:paraId="5F39D349" w14:textId="77777777" w:rsidR="004E4BBE" w:rsidRPr="00F978FE" w:rsidRDefault="004E4BBE" w:rsidP="004E4BBE">
            <w:pPr>
              <w:pStyle w:val="Tabellentext"/>
              <w:jc w:val="right"/>
              <w:rPr>
                <w:rFonts w:asciiTheme="majorHAnsi" w:hAnsiTheme="majorHAnsi" w:cstheme="majorHAnsi"/>
                <w:lang w:eastAsia="de-CH"/>
              </w:rPr>
            </w:pPr>
            <w:r w:rsidRPr="00F978FE">
              <w:rPr>
                <w:rFonts w:asciiTheme="majorHAnsi" w:hAnsiTheme="majorHAnsi" w:cstheme="majorHAnsi"/>
              </w:rPr>
              <w:t>541’350’617</w:t>
            </w:r>
          </w:p>
        </w:tc>
        <w:tc>
          <w:tcPr>
            <w:tcW w:w="750" w:type="pct"/>
            <w:noWrap/>
            <w:hideMark/>
          </w:tcPr>
          <w:p w14:paraId="486B764E" w14:textId="77777777" w:rsidR="004E4BBE" w:rsidRPr="00F978FE" w:rsidRDefault="004E4BBE" w:rsidP="004E4BBE">
            <w:pPr>
              <w:pStyle w:val="Tabellentext"/>
              <w:jc w:val="right"/>
              <w:rPr>
                <w:rFonts w:asciiTheme="majorHAnsi" w:hAnsiTheme="majorHAnsi" w:cstheme="majorHAnsi"/>
                <w:lang w:eastAsia="de-CH"/>
              </w:rPr>
            </w:pPr>
            <w:r w:rsidRPr="00F978FE">
              <w:rPr>
                <w:rFonts w:asciiTheme="majorHAnsi" w:hAnsiTheme="majorHAnsi" w:cstheme="majorHAnsi"/>
              </w:rPr>
              <w:t>587’512’589</w:t>
            </w:r>
          </w:p>
        </w:tc>
      </w:tr>
      <w:tr w:rsidR="004E4BBE" w:rsidRPr="00A5344E" w14:paraId="7631EE16"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49" w:type="pct"/>
            <w:noWrap/>
            <w:hideMark/>
          </w:tcPr>
          <w:p w14:paraId="52ACC6E4"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Sozialversicherungen</w:t>
            </w:r>
          </w:p>
        </w:tc>
        <w:tc>
          <w:tcPr>
            <w:tcW w:w="750" w:type="pct"/>
            <w:noWrap/>
            <w:hideMark/>
          </w:tcPr>
          <w:p w14:paraId="4956FFC8"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239’428’922</w:t>
            </w:r>
          </w:p>
        </w:tc>
        <w:tc>
          <w:tcPr>
            <w:tcW w:w="750" w:type="pct"/>
            <w:noWrap/>
            <w:hideMark/>
          </w:tcPr>
          <w:p w14:paraId="299F652A"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249’126’788</w:t>
            </w:r>
          </w:p>
        </w:tc>
        <w:tc>
          <w:tcPr>
            <w:tcW w:w="750" w:type="pct"/>
            <w:noWrap/>
            <w:hideMark/>
          </w:tcPr>
          <w:p w14:paraId="62F8B70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246’749’623</w:t>
            </w:r>
          </w:p>
        </w:tc>
        <w:tc>
          <w:tcPr>
            <w:tcW w:w="751" w:type="pct"/>
            <w:noWrap/>
            <w:hideMark/>
          </w:tcPr>
          <w:p w14:paraId="7A91646C"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242’820’066</w:t>
            </w:r>
          </w:p>
        </w:tc>
        <w:tc>
          <w:tcPr>
            <w:tcW w:w="750" w:type="pct"/>
            <w:noWrap/>
            <w:hideMark/>
          </w:tcPr>
          <w:p w14:paraId="36C672E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248’500’006</w:t>
            </w:r>
          </w:p>
        </w:tc>
      </w:tr>
      <w:tr w:rsidR="004E4BBE" w:rsidRPr="00A5344E" w14:paraId="47144392"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49" w:type="pct"/>
            <w:noWrap/>
            <w:hideMark/>
          </w:tcPr>
          <w:p w14:paraId="7487C5B7"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öffentlicher Verkehr</w:t>
            </w:r>
          </w:p>
        </w:tc>
        <w:tc>
          <w:tcPr>
            <w:tcW w:w="750" w:type="pct"/>
            <w:noWrap/>
            <w:hideMark/>
          </w:tcPr>
          <w:p w14:paraId="17B8E3E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126’539’137</w:t>
            </w:r>
          </w:p>
        </w:tc>
        <w:tc>
          <w:tcPr>
            <w:tcW w:w="750" w:type="pct"/>
            <w:noWrap/>
            <w:hideMark/>
          </w:tcPr>
          <w:p w14:paraId="2B0C20D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140’239’189</w:t>
            </w:r>
          </w:p>
        </w:tc>
        <w:tc>
          <w:tcPr>
            <w:tcW w:w="750" w:type="pct"/>
            <w:noWrap/>
            <w:hideMark/>
          </w:tcPr>
          <w:p w14:paraId="0B5383C3"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134’325’606</w:t>
            </w:r>
          </w:p>
        </w:tc>
        <w:tc>
          <w:tcPr>
            <w:tcW w:w="751" w:type="pct"/>
            <w:noWrap/>
            <w:hideMark/>
          </w:tcPr>
          <w:p w14:paraId="1DF28C2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150’865’555</w:t>
            </w:r>
          </w:p>
        </w:tc>
        <w:tc>
          <w:tcPr>
            <w:tcW w:w="750" w:type="pct"/>
            <w:noWrap/>
            <w:hideMark/>
          </w:tcPr>
          <w:p w14:paraId="7CF7BCD5"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150’504’394</w:t>
            </w:r>
          </w:p>
        </w:tc>
      </w:tr>
      <w:tr w:rsidR="004E4BBE" w:rsidRPr="00A5344E" w14:paraId="05623A39"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49" w:type="pct"/>
            <w:noWrap/>
            <w:hideMark/>
          </w:tcPr>
          <w:p w14:paraId="6F710C2E"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"neue Aufgabenteilung"</w:t>
            </w:r>
          </w:p>
        </w:tc>
        <w:tc>
          <w:tcPr>
            <w:tcW w:w="750" w:type="pct"/>
            <w:noWrap/>
            <w:hideMark/>
          </w:tcPr>
          <w:p w14:paraId="5EED403D"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191’182’170</w:t>
            </w:r>
          </w:p>
        </w:tc>
        <w:tc>
          <w:tcPr>
            <w:tcW w:w="750" w:type="pct"/>
            <w:noWrap/>
            <w:hideMark/>
          </w:tcPr>
          <w:p w14:paraId="4EC643FE"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189’210’000</w:t>
            </w:r>
          </w:p>
        </w:tc>
        <w:tc>
          <w:tcPr>
            <w:tcW w:w="750" w:type="pct"/>
            <w:noWrap/>
            <w:hideMark/>
          </w:tcPr>
          <w:p w14:paraId="272B4D54"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192’950’000</w:t>
            </w:r>
          </w:p>
        </w:tc>
        <w:tc>
          <w:tcPr>
            <w:tcW w:w="751" w:type="pct"/>
            <w:noWrap/>
            <w:hideMark/>
          </w:tcPr>
          <w:p w14:paraId="4342522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193’000’000</w:t>
            </w:r>
          </w:p>
        </w:tc>
        <w:tc>
          <w:tcPr>
            <w:tcW w:w="750" w:type="pct"/>
            <w:noWrap/>
            <w:hideMark/>
          </w:tcPr>
          <w:p w14:paraId="625581D2"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193’010’000</w:t>
            </w:r>
          </w:p>
        </w:tc>
      </w:tr>
      <w:tr w:rsidR="004E4BBE" w:rsidRPr="00A5344E" w14:paraId="445F9C9F"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49" w:type="pct"/>
            <w:noWrap/>
            <w:hideMark/>
          </w:tcPr>
          <w:p w14:paraId="24604386"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Total Belastung Gemeinden</w:t>
            </w:r>
          </w:p>
        </w:tc>
        <w:tc>
          <w:tcPr>
            <w:tcW w:w="750" w:type="pct"/>
            <w:noWrap/>
            <w:hideMark/>
          </w:tcPr>
          <w:p w14:paraId="1C0B229B"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1’472’169’973</w:t>
            </w:r>
          </w:p>
        </w:tc>
        <w:tc>
          <w:tcPr>
            <w:tcW w:w="750" w:type="pct"/>
            <w:noWrap/>
            <w:hideMark/>
          </w:tcPr>
          <w:p w14:paraId="723B4D40"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1’509’310’531</w:t>
            </w:r>
          </w:p>
        </w:tc>
        <w:tc>
          <w:tcPr>
            <w:tcW w:w="750" w:type="pct"/>
            <w:noWrap/>
            <w:hideMark/>
          </w:tcPr>
          <w:p w14:paraId="680F9240"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1’549’306’771</w:t>
            </w:r>
          </w:p>
        </w:tc>
        <w:tc>
          <w:tcPr>
            <w:tcW w:w="751" w:type="pct"/>
            <w:noWrap/>
            <w:hideMark/>
          </w:tcPr>
          <w:p w14:paraId="386A80C9"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1’555’316’398</w:t>
            </w:r>
          </w:p>
        </w:tc>
        <w:tc>
          <w:tcPr>
            <w:tcW w:w="750" w:type="pct"/>
            <w:noWrap/>
            <w:hideMark/>
          </w:tcPr>
          <w:p w14:paraId="68DB6932"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1’621’530’629</w:t>
            </w:r>
          </w:p>
        </w:tc>
      </w:tr>
    </w:tbl>
    <w:p w14:paraId="23086A76" w14:textId="77777777" w:rsidR="004E4BBE" w:rsidRPr="00A5344E" w:rsidRDefault="004E4BBE" w:rsidP="004E4BBE">
      <w:pPr>
        <w:pStyle w:val="Textkrper"/>
        <w:keepNext/>
        <w:rPr>
          <w:rFonts w:asciiTheme="majorHAnsi" w:hAnsiTheme="majorHAnsi" w:cstheme="majorHAnsi"/>
        </w:rPr>
      </w:pPr>
      <w:r w:rsidRPr="00A5344E">
        <w:rPr>
          <w:rFonts w:asciiTheme="majorHAnsi" w:hAnsiTheme="majorHAnsi" w:cstheme="majorHAnsi"/>
          <w:noProof/>
        </w:rPr>
        <w:drawing>
          <wp:inline distT="0" distB="0" distL="0" distR="0" wp14:anchorId="14E8FD86" wp14:editId="4952AA30">
            <wp:extent cx="5255895" cy="2741930"/>
            <wp:effectExtent l="0" t="0" r="1905" b="1270"/>
            <wp:docPr id="189607438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95" cy="2741930"/>
                    </a:xfrm>
                    <a:prstGeom prst="rect">
                      <a:avLst/>
                    </a:prstGeom>
                    <a:noFill/>
                    <a:ln>
                      <a:noFill/>
                    </a:ln>
                  </pic:spPr>
                </pic:pic>
              </a:graphicData>
            </a:graphic>
          </wp:inline>
        </w:drawing>
      </w:r>
    </w:p>
    <w:p w14:paraId="3885F9B1" w14:textId="77777777" w:rsidR="004E4BBE" w:rsidRPr="00A5344E" w:rsidRDefault="004E4BBE" w:rsidP="004E4BBE">
      <w:pPr>
        <w:keepNext/>
        <w:rPr>
          <w:rFonts w:asciiTheme="majorHAnsi" w:hAnsiTheme="majorHAnsi" w:cstheme="majorHAnsi"/>
        </w:rPr>
      </w:pPr>
    </w:p>
    <w:p w14:paraId="47AFBA6F" w14:textId="77777777" w:rsidR="004E4BBE" w:rsidRPr="00A5344E" w:rsidRDefault="004E4BBE" w:rsidP="004E4BBE">
      <w:pPr>
        <w:pStyle w:val="berschrift2nummeriert"/>
        <w:rPr>
          <w:rFonts w:cstheme="majorHAnsi"/>
        </w:rPr>
      </w:pPr>
      <w:bookmarkStart w:id="18" w:name="_Toc191888237"/>
      <w:r w:rsidRPr="00A5344E">
        <w:rPr>
          <w:rFonts w:cstheme="majorHAnsi"/>
        </w:rPr>
        <w:t>Lastenausgleich Lehrergehälter</w:t>
      </w:r>
      <w:bookmarkEnd w:id="18"/>
    </w:p>
    <w:p w14:paraId="0478CD80" w14:textId="2BB5C59C"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Die Belastung der Gemeinden beim Lastenausgleich Lehrergehälter </w:t>
      </w:r>
      <w:r w:rsidR="00046920">
        <w:rPr>
          <w:rFonts w:asciiTheme="majorHAnsi" w:hAnsiTheme="majorHAnsi" w:cstheme="majorHAnsi"/>
        </w:rPr>
        <w:t>ist</w:t>
      </w:r>
      <w:r w:rsidR="00046920" w:rsidRPr="00A5344E">
        <w:rPr>
          <w:rFonts w:asciiTheme="majorHAnsi" w:hAnsiTheme="majorHAnsi" w:cstheme="majorHAnsi"/>
        </w:rPr>
        <w:t xml:space="preserve"> </w:t>
      </w:r>
      <w:r w:rsidRPr="00A5344E">
        <w:rPr>
          <w:rFonts w:asciiTheme="majorHAnsi" w:hAnsiTheme="majorHAnsi" w:cstheme="majorHAnsi"/>
        </w:rPr>
        <w:t>zwischen</w:t>
      </w:r>
      <w:r w:rsidR="00046920">
        <w:rPr>
          <w:rFonts w:asciiTheme="majorHAnsi" w:hAnsiTheme="majorHAnsi" w:cstheme="majorHAnsi"/>
        </w:rPr>
        <w:t xml:space="preserve"> den Jahren</w:t>
      </w:r>
      <w:r w:rsidRPr="00A5344E">
        <w:rPr>
          <w:rFonts w:asciiTheme="majorHAnsi" w:hAnsiTheme="majorHAnsi" w:cstheme="majorHAnsi"/>
        </w:rPr>
        <w:t xml:space="preserve"> 2020 und 2024 relativ stark gestiegen, von rund CHF 385 Millionen im Jahr 2020 auf rund CHF 442 Millionen im Jahr 2024 (+14,7 </w:t>
      </w:r>
      <w:r w:rsidR="00046920">
        <w:rPr>
          <w:rFonts w:asciiTheme="majorHAnsi" w:hAnsiTheme="majorHAnsi" w:cstheme="majorHAnsi"/>
        </w:rPr>
        <w:t>%</w:t>
      </w:r>
      <w:r w:rsidRPr="00A5344E">
        <w:rPr>
          <w:rFonts w:asciiTheme="majorHAnsi" w:hAnsiTheme="majorHAnsi" w:cstheme="majorHAnsi"/>
        </w:rPr>
        <w:t>).</w:t>
      </w:r>
    </w:p>
    <w:p w14:paraId="7CE51E61" w14:textId="77777777" w:rsidR="008270AB" w:rsidRPr="00A5344E" w:rsidRDefault="008270AB" w:rsidP="004E4BBE">
      <w:pPr>
        <w:rPr>
          <w:rFonts w:asciiTheme="majorHAnsi" w:hAnsiTheme="majorHAnsi" w:cstheme="majorHAnsi"/>
        </w:rPr>
      </w:pPr>
    </w:p>
    <w:p w14:paraId="26EFA50B" w14:textId="126D8198"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Zu beachten ist, dass beim Lastenausgleich Lehrergehälter die Veränderungen pro Jahr unterschiedlich ausfallen. Die Gründe hierfür liegen nebst der Entwicklung der </w:t>
      </w:r>
      <w:r w:rsidR="001379FA">
        <w:rPr>
          <w:rFonts w:asciiTheme="majorHAnsi" w:hAnsiTheme="majorHAnsi" w:cstheme="majorHAnsi"/>
        </w:rPr>
        <w:t>Anzahl Schülerinnen und Schüler</w:t>
      </w:r>
      <w:r w:rsidR="001379FA" w:rsidRPr="00A5344E">
        <w:rPr>
          <w:rFonts w:asciiTheme="majorHAnsi" w:hAnsiTheme="majorHAnsi" w:cstheme="majorHAnsi"/>
        </w:rPr>
        <w:t xml:space="preserve"> </w:t>
      </w:r>
      <w:r w:rsidRPr="00A5344E">
        <w:rPr>
          <w:rFonts w:asciiTheme="majorHAnsi" w:hAnsiTheme="majorHAnsi" w:cstheme="majorHAnsi"/>
        </w:rPr>
        <w:t>in den meisten Fällen in politischen und rechtlichen Entscheiden (z. B. Lohnanstieg, Klassengrössen).</w:t>
      </w:r>
      <w:r w:rsidR="00ED0A6F" w:rsidRPr="00A5344E">
        <w:rPr>
          <w:rFonts w:asciiTheme="majorHAnsi" w:hAnsiTheme="majorHAnsi" w:cstheme="majorHAnsi"/>
        </w:rPr>
        <w:t xml:space="preserve"> Die Aufwendungen für die Lehrergehälter werden zu 70 </w:t>
      </w:r>
      <w:r w:rsidR="00827FD3" w:rsidRPr="00A5344E">
        <w:rPr>
          <w:rFonts w:asciiTheme="majorHAnsi" w:hAnsiTheme="majorHAnsi" w:cstheme="majorHAnsi"/>
        </w:rPr>
        <w:t>Prozent</w:t>
      </w:r>
      <w:r w:rsidR="00ED0A6F" w:rsidRPr="00A5344E">
        <w:rPr>
          <w:rFonts w:asciiTheme="majorHAnsi" w:hAnsiTheme="majorHAnsi" w:cstheme="majorHAnsi"/>
        </w:rPr>
        <w:t xml:space="preserve"> vom Kanton und zu 30 </w:t>
      </w:r>
      <w:r w:rsidR="00827FD3" w:rsidRPr="00A5344E">
        <w:rPr>
          <w:rFonts w:asciiTheme="majorHAnsi" w:hAnsiTheme="majorHAnsi" w:cstheme="majorHAnsi"/>
        </w:rPr>
        <w:t>Prozent</w:t>
      </w:r>
      <w:r w:rsidR="00ED0A6F" w:rsidRPr="00A5344E">
        <w:rPr>
          <w:rFonts w:asciiTheme="majorHAnsi" w:hAnsiTheme="majorHAnsi" w:cstheme="majorHAnsi"/>
        </w:rPr>
        <w:t xml:space="preserve"> von den Gemeinden getragen.</w:t>
      </w:r>
    </w:p>
    <w:p w14:paraId="450BB21A" w14:textId="477DF9F2" w:rsidR="004E4BBE" w:rsidRPr="00053EE5" w:rsidRDefault="004E4BBE" w:rsidP="004E4BBE">
      <w:pPr>
        <w:pStyle w:val="berschrift2nummeriert"/>
        <w:rPr>
          <w:rFonts w:cstheme="majorHAnsi"/>
        </w:rPr>
      </w:pPr>
      <w:bookmarkStart w:id="19" w:name="_Toc191888238"/>
      <w:r w:rsidRPr="00053EE5">
        <w:rPr>
          <w:rFonts w:cstheme="majorHAnsi"/>
        </w:rPr>
        <w:lastRenderedPageBreak/>
        <w:t xml:space="preserve">Lastenausgleich </w:t>
      </w:r>
      <w:r w:rsidR="001944E1" w:rsidRPr="00053EE5">
        <w:rPr>
          <w:rFonts w:cstheme="majorHAnsi"/>
        </w:rPr>
        <w:t>Soziales</w:t>
      </w:r>
      <w:bookmarkEnd w:id="19"/>
    </w:p>
    <w:p w14:paraId="36E77853" w14:textId="533FB86D" w:rsidR="004E4BBE" w:rsidRDefault="004E4BBE" w:rsidP="004E4BBE">
      <w:pPr>
        <w:rPr>
          <w:rFonts w:asciiTheme="majorHAnsi" w:hAnsiTheme="majorHAnsi" w:cstheme="majorHAnsi"/>
        </w:rPr>
      </w:pPr>
      <w:r w:rsidRPr="00053EE5">
        <w:rPr>
          <w:rFonts w:asciiTheme="majorHAnsi" w:hAnsiTheme="majorHAnsi" w:cstheme="majorHAnsi"/>
        </w:rPr>
        <w:t xml:space="preserve">Die Aufwendungen für die individuelle und institutionelle Sozialhilfe werden zu 50 Prozent vom Kanton und zu 50 Prozent durch die Gemeinden finanziert. Massgebend für die Bestimmung der </w:t>
      </w:r>
      <w:r w:rsidR="00F4725C" w:rsidRPr="00053EE5">
        <w:rPr>
          <w:rFonts w:asciiTheme="majorHAnsi" w:hAnsiTheme="majorHAnsi" w:cstheme="majorHAnsi"/>
        </w:rPr>
        <w:t xml:space="preserve">einzelnen </w:t>
      </w:r>
      <w:r w:rsidRPr="00053EE5">
        <w:rPr>
          <w:rFonts w:asciiTheme="majorHAnsi" w:hAnsiTheme="majorHAnsi" w:cstheme="majorHAnsi"/>
        </w:rPr>
        <w:t xml:space="preserve">Gemeindeanteile ist dabei die Wohnbevölkerung. Die Belastung der Gemeinden im Lastenausgleich </w:t>
      </w:r>
      <w:r w:rsidR="001944E1" w:rsidRPr="00053EE5">
        <w:rPr>
          <w:rFonts w:asciiTheme="majorHAnsi" w:hAnsiTheme="majorHAnsi" w:cstheme="majorHAnsi"/>
        </w:rPr>
        <w:t>Soziales</w:t>
      </w:r>
      <w:r w:rsidRPr="00053EE5">
        <w:rPr>
          <w:rFonts w:asciiTheme="majorHAnsi" w:hAnsiTheme="majorHAnsi" w:cstheme="majorHAnsi"/>
        </w:rPr>
        <w:t xml:space="preserve"> ist von CHF 530 Millionen im Jahr 2020 auf CHF 588 Millionen im Jahr 2024 (CHF +58 Mio</w:t>
      </w:r>
      <w:r w:rsidRPr="00A5344E">
        <w:rPr>
          <w:rFonts w:asciiTheme="majorHAnsi" w:hAnsiTheme="majorHAnsi" w:cstheme="majorHAnsi"/>
        </w:rPr>
        <w:t>. bzw. +10</w:t>
      </w:r>
      <w:r w:rsidR="00827FD3" w:rsidRPr="00A5344E">
        <w:rPr>
          <w:rFonts w:asciiTheme="majorHAnsi" w:hAnsiTheme="majorHAnsi" w:cstheme="majorHAnsi"/>
        </w:rPr>
        <w:t>,</w:t>
      </w:r>
      <w:r w:rsidRPr="00A5344E">
        <w:rPr>
          <w:rFonts w:asciiTheme="majorHAnsi" w:hAnsiTheme="majorHAnsi" w:cstheme="majorHAnsi"/>
        </w:rPr>
        <w:t xml:space="preserve">9 </w:t>
      </w:r>
      <w:r w:rsidR="008F292C">
        <w:rPr>
          <w:rFonts w:asciiTheme="majorHAnsi" w:hAnsiTheme="majorHAnsi" w:cstheme="majorHAnsi"/>
        </w:rPr>
        <w:t>%</w:t>
      </w:r>
      <w:r w:rsidRPr="00A5344E">
        <w:rPr>
          <w:rFonts w:asciiTheme="majorHAnsi" w:hAnsiTheme="majorHAnsi" w:cstheme="majorHAnsi"/>
        </w:rPr>
        <w:t>) gestiegen.</w:t>
      </w:r>
    </w:p>
    <w:p w14:paraId="29741875" w14:textId="77777777" w:rsidR="008F292C" w:rsidRPr="00A5344E" w:rsidRDefault="008F292C" w:rsidP="004E4BBE">
      <w:pPr>
        <w:rPr>
          <w:rFonts w:asciiTheme="majorHAnsi" w:hAnsiTheme="majorHAnsi" w:cstheme="majorHAnsi"/>
        </w:rPr>
      </w:pPr>
    </w:p>
    <w:p w14:paraId="662A9610" w14:textId="189F56E8"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Die massgebenden Kostenfaktoren in der Sozialhilfe (z. B. Anzahl unterstützte Personen, durchschnittliche Unterstützungsdauer) sind durch den Kanton und die Gemeinden nur beschränkt beeinflussbar. Die Einflussfaktoren auf die Fallentwicklung und somit auf die Kosten in der individuellen Sozialhilfe sind vielfältig und zum Teil nur schwer quantifizierbar. Im Besonderen haben die wirtschaftliche Konjunkturlage und die strukturelle Veränderung des Arbeitsmarktes, </w:t>
      </w:r>
      <w:r w:rsidR="008F292C">
        <w:rPr>
          <w:rFonts w:asciiTheme="majorHAnsi" w:hAnsiTheme="majorHAnsi" w:cstheme="majorHAnsi"/>
        </w:rPr>
        <w:t>die</w:t>
      </w:r>
      <w:r w:rsidR="008F292C" w:rsidRPr="00A5344E">
        <w:rPr>
          <w:rFonts w:asciiTheme="majorHAnsi" w:hAnsiTheme="majorHAnsi" w:cstheme="majorHAnsi"/>
        </w:rPr>
        <w:t xml:space="preserve"> </w:t>
      </w:r>
      <w:r w:rsidRPr="00A5344E">
        <w:rPr>
          <w:rFonts w:asciiTheme="majorHAnsi" w:hAnsiTheme="majorHAnsi" w:cstheme="majorHAnsi"/>
        </w:rPr>
        <w:t xml:space="preserve">zum Verlust </w:t>
      </w:r>
      <w:r w:rsidR="008F292C">
        <w:rPr>
          <w:rFonts w:asciiTheme="majorHAnsi" w:hAnsiTheme="majorHAnsi" w:cstheme="majorHAnsi"/>
        </w:rPr>
        <w:t>von</w:t>
      </w:r>
      <w:r w:rsidR="008F292C" w:rsidRPr="00A5344E">
        <w:rPr>
          <w:rFonts w:asciiTheme="majorHAnsi" w:hAnsiTheme="majorHAnsi" w:cstheme="majorHAnsi"/>
        </w:rPr>
        <w:t xml:space="preserve"> </w:t>
      </w:r>
      <w:r w:rsidRPr="00A5344E">
        <w:rPr>
          <w:rFonts w:asciiTheme="majorHAnsi" w:hAnsiTheme="majorHAnsi" w:cstheme="majorHAnsi"/>
        </w:rPr>
        <w:t xml:space="preserve">niederschwelligen Arbeitsplätzen und </w:t>
      </w:r>
      <w:r w:rsidR="0033021B" w:rsidRPr="00A5344E">
        <w:rPr>
          <w:rFonts w:asciiTheme="majorHAnsi" w:hAnsiTheme="majorHAnsi" w:cstheme="majorHAnsi"/>
        </w:rPr>
        <w:t xml:space="preserve">zur </w:t>
      </w:r>
      <w:r w:rsidRPr="00A5344E">
        <w:rPr>
          <w:rFonts w:asciiTheme="majorHAnsi" w:hAnsiTheme="majorHAnsi" w:cstheme="majorHAnsi"/>
        </w:rPr>
        <w:t>Zunahme prekärer Arbeitsverhältnisse führt, Einfluss auf die Höhe der Sozialhilfe. Neben den grösseren Schwierigkeiten hinsichtlich Integration im Arbeitsmarkt wirken sich auch die von der Konjunktur unabhängigen gesellschaftlichen Entwicklungen auf die Sozialhilfe aus, z. B. die Zunahme von Einelternfamilien oder eine Migrationsbevölkerung mit geringer oder nicht anerkannter Ausbildung.</w:t>
      </w:r>
    </w:p>
    <w:p w14:paraId="1726501E" w14:textId="4174FE90" w:rsidR="004E4BBE" w:rsidRPr="00A5344E" w:rsidRDefault="004E4BBE" w:rsidP="004E4BBE">
      <w:pPr>
        <w:pStyle w:val="berschrift2nummeriert"/>
        <w:rPr>
          <w:rFonts w:cstheme="majorHAnsi"/>
        </w:rPr>
      </w:pPr>
      <w:bookmarkStart w:id="20" w:name="_Toc191888239"/>
      <w:r w:rsidRPr="00A5344E">
        <w:rPr>
          <w:rFonts w:cstheme="majorHAnsi"/>
        </w:rPr>
        <w:t>Lastenausgleiche Ergänzungsleistungen</w:t>
      </w:r>
      <w:r w:rsidR="00BE3AB6">
        <w:rPr>
          <w:rFonts w:cstheme="majorHAnsi"/>
        </w:rPr>
        <w:t xml:space="preserve"> zur AHV/IV</w:t>
      </w:r>
      <w:r w:rsidRPr="00A5344E">
        <w:rPr>
          <w:rFonts w:cstheme="majorHAnsi"/>
        </w:rPr>
        <w:t xml:space="preserve"> und Familienzulagen für Nichterwerbstätige (Sozialversicherungen)</w:t>
      </w:r>
      <w:bookmarkEnd w:id="20"/>
    </w:p>
    <w:p w14:paraId="6C48BAB3" w14:textId="115AD000" w:rsidR="004E4BBE" w:rsidRDefault="004E4BBE" w:rsidP="004E4BBE">
      <w:pPr>
        <w:rPr>
          <w:rFonts w:asciiTheme="majorHAnsi" w:hAnsiTheme="majorHAnsi" w:cstheme="majorHAnsi"/>
        </w:rPr>
      </w:pPr>
      <w:r w:rsidRPr="00A5344E">
        <w:rPr>
          <w:rFonts w:asciiTheme="majorHAnsi" w:hAnsiTheme="majorHAnsi" w:cstheme="majorHAnsi"/>
        </w:rPr>
        <w:t>Die Aufwendungen für die Lastenausgleiche Ergänzungsleistungen</w:t>
      </w:r>
      <w:r w:rsidR="00BE3AB6">
        <w:rPr>
          <w:rFonts w:asciiTheme="majorHAnsi" w:hAnsiTheme="majorHAnsi" w:cstheme="majorHAnsi"/>
        </w:rPr>
        <w:t xml:space="preserve"> zur AHV/IV</w:t>
      </w:r>
      <w:r w:rsidRPr="00A5344E">
        <w:rPr>
          <w:rFonts w:asciiTheme="majorHAnsi" w:hAnsiTheme="majorHAnsi" w:cstheme="majorHAnsi"/>
        </w:rPr>
        <w:t xml:space="preserve"> (EL) und Familienzulagen für Nichterwerbstätige (FAMZU) werden zu 50 Prozent </w:t>
      </w:r>
      <w:r w:rsidR="0033021B" w:rsidRPr="00A5344E">
        <w:rPr>
          <w:rFonts w:asciiTheme="majorHAnsi" w:hAnsiTheme="majorHAnsi" w:cstheme="majorHAnsi"/>
        </w:rPr>
        <w:t xml:space="preserve">durch den </w:t>
      </w:r>
      <w:r w:rsidRPr="00A5344E">
        <w:rPr>
          <w:rFonts w:asciiTheme="majorHAnsi" w:hAnsiTheme="majorHAnsi" w:cstheme="majorHAnsi"/>
        </w:rPr>
        <w:t>Kanton und zu 50 Prozent durch die Gemeinden finanziert. Massgebend für die Bestimmung der Gemeindeanteile ist die Wohnbevölkerung. Die Gesamtheit aller Gemeinden trägt im Jahr 2024 Kosten in der Höhe von CHF 249 Millionen gegenüber CHF 239 Millionen im Jahr 2020.</w:t>
      </w:r>
    </w:p>
    <w:p w14:paraId="3F8F4309" w14:textId="77777777" w:rsidR="008F292C" w:rsidRPr="00A5344E" w:rsidRDefault="008F292C" w:rsidP="004E4BBE">
      <w:pPr>
        <w:rPr>
          <w:rFonts w:asciiTheme="majorHAnsi" w:hAnsiTheme="majorHAnsi" w:cstheme="majorHAnsi"/>
        </w:rPr>
      </w:pPr>
    </w:p>
    <w:p w14:paraId="4C300F40" w14:textId="025F6306" w:rsidR="004E4BBE" w:rsidRPr="00A5344E" w:rsidRDefault="004E4BBE" w:rsidP="004E4BBE">
      <w:pPr>
        <w:rPr>
          <w:rFonts w:asciiTheme="majorHAnsi" w:hAnsiTheme="majorHAnsi" w:cstheme="majorHAnsi"/>
        </w:rPr>
      </w:pPr>
      <w:r w:rsidRPr="00A5344E">
        <w:rPr>
          <w:rFonts w:asciiTheme="majorHAnsi" w:hAnsiTheme="majorHAnsi" w:cstheme="majorHAnsi"/>
        </w:rPr>
        <w:t>Die Kostenentwicklung kann durch den Kanton grundsätzlich nicht direkt gesteuert werden, da der Aufwand für die AHV, die IV und die EL durch übergeordnetes Bundesrecht beeinflusst wird. Externe Faktoren für die Kostenentwicklung sind die demografische Entwicklung (Alterspyramide), die Veränderung der Anzahl Versicherungsfälle, die wirtschaftliche Entwicklung sowie die Teuerung.</w:t>
      </w:r>
    </w:p>
    <w:p w14:paraId="155074F2" w14:textId="77777777" w:rsidR="004E4BBE" w:rsidRPr="00A5344E" w:rsidRDefault="004E4BBE" w:rsidP="004E4BBE">
      <w:pPr>
        <w:pStyle w:val="berschrift2nummeriert"/>
        <w:rPr>
          <w:rFonts w:cstheme="majorHAnsi"/>
        </w:rPr>
      </w:pPr>
      <w:bookmarkStart w:id="21" w:name="_Toc191888240"/>
      <w:r w:rsidRPr="00A5344E">
        <w:rPr>
          <w:rFonts w:cstheme="majorHAnsi"/>
        </w:rPr>
        <w:t>Lastenausgleich öffentlicher Verkehr</w:t>
      </w:r>
      <w:bookmarkEnd w:id="21"/>
    </w:p>
    <w:p w14:paraId="00D37E95" w14:textId="3F8BCDCB" w:rsidR="004E4BBE" w:rsidRDefault="004E4BBE" w:rsidP="004E4BBE">
      <w:pPr>
        <w:rPr>
          <w:rFonts w:asciiTheme="majorHAnsi" w:hAnsiTheme="majorHAnsi" w:cstheme="majorHAnsi"/>
        </w:rPr>
      </w:pPr>
      <w:r w:rsidRPr="00A5344E">
        <w:rPr>
          <w:rFonts w:asciiTheme="majorHAnsi" w:hAnsiTheme="majorHAnsi" w:cstheme="majorHAnsi"/>
        </w:rPr>
        <w:t>Beim Lastenausgleich öffentlicher Verkehr trägt der Kanton zwei Drittel der Kosten, während der Gemeindeanteil ein</w:t>
      </w:r>
      <w:r w:rsidR="0033021B" w:rsidRPr="00A5344E">
        <w:rPr>
          <w:rFonts w:asciiTheme="majorHAnsi" w:hAnsiTheme="majorHAnsi" w:cstheme="majorHAnsi"/>
        </w:rPr>
        <w:t>en</w:t>
      </w:r>
      <w:r w:rsidRPr="00A5344E">
        <w:rPr>
          <w:rFonts w:asciiTheme="majorHAnsi" w:hAnsiTheme="majorHAnsi" w:cstheme="majorHAnsi"/>
        </w:rPr>
        <w:t xml:space="preserve"> Drittel beträgt. Massgebend für die Bestimmung der Gemeindeanteile sind zu zwei Dritteln das Verkehrsangebot und zu einem Drittel die Wohnbevölkerung.</w:t>
      </w:r>
    </w:p>
    <w:p w14:paraId="3F50CDE4" w14:textId="77777777" w:rsidR="00BA2D93" w:rsidRPr="00A5344E" w:rsidRDefault="00BA2D93" w:rsidP="004E4BBE">
      <w:pPr>
        <w:rPr>
          <w:rFonts w:asciiTheme="majorHAnsi" w:hAnsiTheme="majorHAnsi" w:cstheme="majorHAnsi"/>
        </w:rPr>
      </w:pPr>
    </w:p>
    <w:p w14:paraId="4CABC058" w14:textId="794E8FD3"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Die Kostenentwicklung des Lastenausgleichs steht in direktem Zusammenhang mit der Angebotsentwicklung und der Investitionstätigkeit. Der Ausbau beim Angebot des öffentlichen Verkehrs sowie die Finanzierung von neuen Verkehrsinfrastrukturen haben zu einem grösseren Anstieg der Ausgaben seit dem Jahr 2020 geführt. </w:t>
      </w:r>
      <w:r w:rsidR="00984F56" w:rsidRPr="00A5344E">
        <w:rPr>
          <w:rFonts w:asciiTheme="majorHAnsi" w:hAnsiTheme="majorHAnsi" w:cstheme="majorHAnsi"/>
        </w:rPr>
        <w:t>Die Gründe dafür sind u.</w:t>
      </w:r>
      <w:r w:rsidR="00BA2D93">
        <w:rPr>
          <w:rFonts w:asciiTheme="majorHAnsi" w:hAnsiTheme="majorHAnsi" w:cstheme="majorHAnsi"/>
        </w:rPr>
        <w:t> </w:t>
      </w:r>
      <w:r w:rsidR="00984F56" w:rsidRPr="00A5344E">
        <w:rPr>
          <w:rFonts w:asciiTheme="majorHAnsi" w:hAnsiTheme="majorHAnsi" w:cstheme="majorHAnsi"/>
        </w:rPr>
        <w:t>a.:</w:t>
      </w:r>
    </w:p>
    <w:p w14:paraId="73FEBBDF" w14:textId="77777777"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rPr>
        <w:t>Im Rahmen des vom Grossen Rat genehmigten Angebotsbeschlusses 2018–2021 sind gezielte Verbesserungen am ÖV-Angebot vorgenommen worden.</w:t>
      </w:r>
    </w:p>
    <w:p w14:paraId="0E7A3F65" w14:textId="77777777" w:rsidR="004E4BBE" w:rsidRPr="00A5344E" w:rsidRDefault="004E4BBE" w:rsidP="004E4BBE">
      <w:pPr>
        <w:pStyle w:val="Aufzhlungszeichen"/>
        <w:contextualSpacing w:val="0"/>
        <w:rPr>
          <w:rFonts w:asciiTheme="majorHAnsi" w:hAnsiTheme="majorHAnsi" w:cstheme="majorHAnsi"/>
        </w:rPr>
      </w:pPr>
      <w:r w:rsidRPr="00A5344E">
        <w:rPr>
          <w:rFonts w:asciiTheme="majorHAnsi" w:hAnsiTheme="majorHAnsi" w:cstheme="majorHAnsi"/>
        </w:rPr>
        <w:t>Bei verschiedenen Transportunternehmen standen und stehen grössere Rollmaterialbeschaffungen sowie Depot Neu- und Ausbauten an. Die Folgekosten aus diesen Beschaffungen und Investitionen führen zu höheren ÖV-Abgeltungen.</w:t>
      </w:r>
    </w:p>
    <w:p w14:paraId="1EA01870" w14:textId="39305DFC" w:rsidR="004E4BBE" w:rsidRPr="00CD1498" w:rsidRDefault="004E4BBE" w:rsidP="00D249E8">
      <w:pPr>
        <w:pStyle w:val="Aufzhlungszeichen"/>
        <w:contextualSpacing w:val="0"/>
        <w:rPr>
          <w:rFonts w:asciiTheme="majorHAnsi" w:hAnsiTheme="majorHAnsi" w:cstheme="majorHAnsi"/>
        </w:rPr>
      </w:pPr>
      <w:r w:rsidRPr="00CD1498">
        <w:rPr>
          <w:rFonts w:asciiTheme="majorHAnsi" w:hAnsiTheme="majorHAnsi" w:cstheme="majorHAnsi"/>
        </w:rPr>
        <w:t>Mit der Realisierung der beiden Grossbaustellen Ausbau des Bahnhofs Bern (neuer RBS-Tiefbahnhof und Publikumsanlagen SBB) haben sich die Investitionsausgaben erhöht.</w:t>
      </w:r>
    </w:p>
    <w:p w14:paraId="52884093" w14:textId="77777777" w:rsidR="004E4BBE" w:rsidRPr="00A5344E" w:rsidRDefault="004E4BBE" w:rsidP="004E4BBE">
      <w:pPr>
        <w:pStyle w:val="berschrift2nummeriert"/>
        <w:rPr>
          <w:rFonts w:cstheme="majorHAnsi"/>
        </w:rPr>
      </w:pPr>
      <w:bookmarkStart w:id="22" w:name="_Toc191888241"/>
      <w:r w:rsidRPr="00A5344E">
        <w:rPr>
          <w:rFonts w:cstheme="majorHAnsi"/>
        </w:rPr>
        <w:lastRenderedPageBreak/>
        <w:t>Lastenausgleich «neue Aufgabenteilung»</w:t>
      </w:r>
      <w:bookmarkEnd w:id="22"/>
    </w:p>
    <w:p w14:paraId="370B3BA7" w14:textId="3C9D502B" w:rsidR="004E4BBE" w:rsidRPr="00A5344E" w:rsidRDefault="004E4BBE" w:rsidP="004E4BBE">
      <w:pPr>
        <w:rPr>
          <w:rFonts w:asciiTheme="majorHAnsi" w:hAnsiTheme="majorHAnsi" w:cstheme="majorHAnsi"/>
        </w:rPr>
      </w:pPr>
      <w:r w:rsidRPr="00A5344E">
        <w:rPr>
          <w:rFonts w:asciiTheme="majorHAnsi" w:hAnsiTheme="majorHAnsi" w:cstheme="majorHAnsi"/>
        </w:rPr>
        <w:t>Der Lastenausgleich «neue Aufgabenteilung» wurde anlässlich der FILAG-Revision per 1. Januar 2012 konzipiert. Mit diesem Instrument werden Lastenverschiebungen aufgrund einer neuen Aufgabenteilung zwischen Kanton und Gemeinden gegenseitig verrechnet. Ein Saldo zugunsten des Kantons wird durch Gemeindeanteile ausgeglichen. Ein Saldo zugunsten der Gemeinden wird durch Zuschüsse des Kantons ausgeglichen. Massgebend für die Bestimmung der Gemeindeanteile ist die Wohnbevölkerung.</w:t>
      </w:r>
    </w:p>
    <w:p w14:paraId="4E200850" w14:textId="77777777" w:rsidR="008270AB" w:rsidRPr="00A5344E" w:rsidRDefault="008270AB" w:rsidP="004E4BBE">
      <w:pPr>
        <w:rPr>
          <w:rFonts w:asciiTheme="majorHAnsi" w:hAnsiTheme="majorHAnsi" w:cstheme="majorHAnsi"/>
        </w:rPr>
      </w:pPr>
    </w:p>
    <w:p w14:paraId="44FC54C1" w14:textId="476FFC36" w:rsidR="004E4BBE" w:rsidRPr="00A5344E" w:rsidRDefault="004E4BBE" w:rsidP="004E4BBE">
      <w:pPr>
        <w:rPr>
          <w:rFonts w:asciiTheme="majorHAnsi" w:hAnsiTheme="majorHAnsi" w:cstheme="majorHAnsi"/>
        </w:rPr>
      </w:pPr>
      <w:r w:rsidRPr="00A5344E">
        <w:rPr>
          <w:rFonts w:asciiTheme="majorHAnsi" w:hAnsiTheme="majorHAnsi" w:cstheme="majorHAnsi"/>
        </w:rPr>
        <w:t xml:space="preserve">Die Veränderung von rund CHF ‒2,0 Millionen im Jahr 2021 gegenüber </w:t>
      </w:r>
      <w:r w:rsidR="007517A6">
        <w:rPr>
          <w:rFonts w:asciiTheme="majorHAnsi" w:hAnsiTheme="majorHAnsi" w:cstheme="majorHAnsi"/>
        </w:rPr>
        <w:t xml:space="preserve">dem Jahr </w:t>
      </w:r>
      <w:r w:rsidRPr="00A5344E">
        <w:rPr>
          <w:rFonts w:asciiTheme="majorHAnsi" w:hAnsiTheme="majorHAnsi" w:cstheme="majorHAnsi"/>
        </w:rPr>
        <w:t xml:space="preserve">2020 ist auf </w:t>
      </w:r>
      <w:r w:rsidR="007517A6">
        <w:rPr>
          <w:rFonts w:asciiTheme="majorHAnsi" w:hAnsiTheme="majorHAnsi" w:cstheme="majorHAnsi"/>
        </w:rPr>
        <w:t>das Inkrafttreten</w:t>
      </w:r>
      <w:r w:rsidRPr="00A5344E">
        <w:rPr>
          <w:rFonts w:asciiTheme="majorHAnsi" w:hAnsiTheme="majorHAnsi" w:cstheme="majorHAnsi"/>
        </w:rPr>
        <w:t xml:space="preserve"> des Gesetzes vom 3. Dezember 2019 über die Sozialhilfe im Asyl- und Flüchtlingsbereich (SAFG; BSG 861.1) und insbesondere dessen Art. 67 sowie </w:t>
      </w:r>
      <w:r w:rsidR="007517A6">
        <w:rPr>
          <w:rFonts w:asciiTheme="majorHAnsi" w:hAnsiTheme="majorHAnsi" w:cstheme="majorHAnsi"/>
        </w:rPr>
        <w:t>des</w:t>
      </w:r>
      <w:r w:rsidR="007517A6" w:rsidRPr="00A5344E">
        <w:rPr>
          <w:rFonts w:asciiTheme="majorHAnsi" w:hAnsiTheme="majorHAnsi" w:cstheme="majorHAnsi"/>
        </w:rPr>
        <w:t xml:space="preserve"> </w:t>
      </w:r>
      <w:r w:rsidRPr="00A5344E">
        <w:rPr>
          <w:rFonts w:asciiTheme="majorHAnsi" w:hAnsiTheme="majorHAnsi" w:cstheme="majorHAnsi"/>
        </w:rPr>
        <w:t>Einführungsgesetz</w:t>
      </w:r>
      <w:r w:rsidR="007517A6">
        <w:rPr>
          <w:rFonts w:asciiTheme="majorHAnsi" w:hAnsiTheme="majorHAnsi" w:cstheme="majorHAnsi"/>
        </w:rPr>
        <w:t>es</w:t>
      </w:r>
      <w:r w:rsidRPr="00A5344E">
        <w:rPr>
          <w:rFonts w:asciiTheme="majorHAnsi" w:hAnsiTheme="majorHAnsi" w:cstheme="majorHAnsi"/>
        </w:rPr>
        <w:t xml:space="preserve"> vom 9. Dezember 2019 zum Ausländer- und Integrationsgesetz sowie zum Asylgesetz (EG AIG und AsylG; BSG 122.20) und insbesondere dessen Art. 47 zurückzuführen.</w:t>
      </w:r>
    </w:p>
    <w:p w14:paraId="3BDC3698" w14:textId="77777777" w:rsidR="008270AB" w:rsidRPr="00A5344E" w:rsidRDefault="008270AB" w:rsidP="004E4BBE">
      <w:pPr>
        <w:rPr>
          <w:rFonts w:asciiTheme="majorHAnsi" w:hAnsiTheme="majorHAnsi" w:cstheme="majorHAnsi"/>
        </w:rPr>
      </w:pPr>
    </w:p>
    <w:p w14:paraId="1F4C36D9" w14:textId="77777777" w:rsidR="004E4BBE" w:rsidRPr="00A5344E" w:rsidRDefault="004E4BBE" w:rsidP="004E4BBE">
      <w:pPr>
        <w:rPr>
          <w:rFonts w:asciiTheme="majorHAnsi" w:hAnsiTheme="majorHAnsi" w:cstheme="majorHAnsi"/>
        </w:rPr>
      </w:pPr>
      <w:r w:rsidRPr="00A5344E">
        <w:rPr>
          <w:rFonts w:asciiTheme="majorHAnsi" w:hAnsiTheme="majorHAnsi" w:cstheme="majorHAnsi"/>
        </w:rPr>
        <w:t>Zu beachten ist, dass die im Lastenausgleich «neue Aufgabenteilung» erfassten Lastenverschiebungen zum Teil auch Aufgaben und Finanzströme ausserhalb des FILAG betreffen. Beispielsweise können die Gemeinden am kantonalen Sicherheitsfunknetz Polycom partizipieren, wofür ihnen im Lastenausgleich «neue Aufgabenteilung» CHF 2,0 Millionen belastet werden.</w:t>
      </w:r>
    </w:p>
    <w:p w14:paraId="5ABCEE18" w14:textId="77777777" w:rsidR="008270AB" w:rsidRPr="00A5344E" w:rsidRDefault="008270AB" w:rsidP="004E4BBE">
      <w:pPr>
        <w:rPr>
          <w:rFonts w:asciiTheme="majorHAnsi" w:hAnsiTheme="majorHAnsi" w:cstheme="majorHAnsi"/>
        </w:rPr>
      </w:pPr>
    </w:p>
    <w:p w14:paraId="032F1DBB" w14:textId="5A7276BD" w:rsidR="00984F56" w:rsidRPr="00A5344E" w:rsidRDefault="004E4BBE" w:rsidP="004E4BBE">
      <w:pPr>
        <w:rPr>
          <w:rFonts w:asciiTheme="majorHAnsi" w:hAnsiTheme="majorHAnsi" w:cstheme="majorHAnsi"/>
        </w:rPr>
      </w:pPr>
      <w:r w:rsidRPr="00A5344E">
        <w:rPr>
          <w:rFonts w:asciiTheme="majorHAnsi" w:hAnsiTheme="majorHAnsi" w:cstheme="majorHAnsi"/>
        </w:rPr>
        <w:t>In den Auswertungen und Analysen dieses Berichtes können die ausserhalb des FILAG anfallenden Lastenverschiebungen aus methodischen Gründen nur einseitig im Lastenausgleich «neue Aufgabenteilung» berücksichtigt werden. Die daraus resultierenden Ungenauigkeiten dürften angesichts der eher marginalen Bedeutung dieser Finanzströme nicht zu einer Beeinträchtigung der Analyseergebnisse und der Schlussfolgerungen führen.</w:t>
      </w:r>
    </w:p>
    <w:p w14:paraId="18928BF5" w14:textId="77777777" w:rsidR="004E4BBE" w:rsidRPr="00A5344E" w:rsidRDefault="004E4BBE" w:rsidP="004E4BBE">
      <w:pPr>
        <w:pStyle w:val="berschrift2nummeriert"/>
        <w:rPr>
          <w:rFonts w:cstheme="majorHAnsi"/>
        </w:rPr>
      </w:pPr>
      <w:bookmarkStart w:id="23" w:name="_Ref185250843"/>
      <w:bookmarkStart w:id="24" w:name="_Toc191888242"/>
      <w:r w:rsidRPr="00A5344E">
        <w:rPr>
          <w:rFonts w:cstheme="majorHAnsi"/>
        </w:rPr>
        <w:t>Prognose Kostenentwicklung Lastenausgleiche</w:t>
      </w:r>
      <w:bookmarkEnd w:id="23"/>
      <w:bookmarkEnd w:id="24"/>
    </w:p>
    <w:p w14:paraId="68AA80AE" w14:textId="69CBAFB4" w:rsidR="004E4BBE" w:rsidRPr="00A5344E" w:rsidRDefault="004E4BBE" w:rsidP="006811A3">
      <w:pPr>
        <w:rPr>
          <w:rFonts w:asciiTheme="majorHAnsi" w:hAnsiTheme="majorHAnsi" w:cstheme="majorHAnsi"/>
        </w:rPr>
      </w:pPr>
      <w:r w:rsidRPr="00A5344E">
        <w:rPr>
          <w:rFonts w:asciiTheme="majorHAnsi" w:hAnsiTheme="majorHAnsi" w:cstheme="majorHAnsi"/>
        </w:rPr>
        <w:t xml:space="preserve">Wie aus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_Ref185250784 \h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Abbildung 4</w:t>
      </w:r>
      <w:r w:rsidR="00D21982" w:rsidRPr="00A5344E">
        <w:rPr>
          <w:rFonts w:asciiTheme="majorHAnsi" w:hAnsiTheme="majorHAnsi" w:cstheme="majorHAnsi"/>
        </w:rPr>
        <w:fldChar w:fldCharType="end"/>
      </w:r>
      <w:r w:rsidRPr="00A5344E">
        <w:rPr>
          <w:rFonts w:asciiTheme="majorHAnsi" w:hAnsiTheme="majorHAnsi" w:cstheme="majorHAnsi"/>
        </w:rPr>
        <w:t xml:space="preserve"> ersichtlich ist, wird zum heutigen Zeitpunkt von den Fachdirektionen insbesondere für d</w:t>
      </w:r>
      <w:r w:rsidR="00FA0916" w:rsidRPr="00A5344E">
        <w:rPr>
          <w:rFonts w:asciiTheme="majorHAnsi" w:hAnsiTheme="majorHAnsi" w:cstheme="majorHAnsi"/>
        </w:rPr>
        <w:t xml:space="preserve">as Jahr 2025 </w:t>
      </w:r>
      <w:r w:rsidRPr="00A5344E">
        <w:rPr>
          <w:rFonts w:asciiTheme="majorHAnsi" w:hAnsiTheme="majorHAnsi" w:cstheme="majorHAnsi"/>
        </w:rPr>
        <w:t xml:space="preserve">ein deutlicher Kostenanstieg für die Lastenausgleiche prognostiziert. Dabei ist auch zu berücksichtigen, dass bei den </w:t>
      </w:r>
      <w:r w:rsidRPr="00F978FE">
        <w:rPr>
          <w:rFonts w:asciiTheme="majorHAnsi" w:hAnsiTheme="majorHAnsi" w:cstheme="majorHAnsi"/>
        </w:rPr>
        <w:t xml:space="preserve">Lastenausgleichen </w:t>
      </w:r>
      <w:r w:rsidR="001944E1" w:rsidRPr="00F978FE">
        <w:rPr>
          <w:rFonts w:asciiTheme="majorHAnsi" w:hAnsiTheme="majorHAnsi" w:cstheme="majorHAnsi"/>
        </w:rPr>
        <w:t>Soziales</w:t>
      </w:r>
      <w:r w:rsidRPr="00F978FE">
        <w:rPr>
          <w:rFonts w:asciiTheme="majorHAnsi" w:hAnsiTheme="majorHAnsi" w:cstheme="majorHAnsi"/>
        </w:rPr>
        <w:t xml:space="preserve"> und Soz</w:t>
      </w:r>
      <w:r w:rsidRPr="00A5344E">
        <w:rPr>
          <w:rFonts w:asciiTheme="majorHAnsi" w:hAnsiTheme="majorHAnsi" w:cstheme="majorHAnsi"/>
        </w:rPr>
        <w:t>ialversicherungen bezüglich der Prognoseannahmen grössere Unsicherheiten und Risiken bestehen. Die für diese beiden Lastenausgleiche relevanten Ausgaben sind vom Kanton und den Gemeinden systembedingt nur eingeschränkt steuerbar und werden wesentlich von der Wirtschaftslage, der demografischen Entwicklung sowie von Anpassungen und Sparmassnahmen in den vorgelagerten Systemen (z. B. Arbeitslosenversicherung, Krankenkassenprämienverbilligungen etc.) beeinflusst.</w:t>
      </w:r>
    </w:p>
    <w:p w14:paraId="0BD0260C" w14:textId="77777777" w:rsidR="00D21982" w:rsidRPr="00A5344E" w:rsidRDefault="00D21982" w:rsidP="006811A3">
      <w:pPr>
        <w:rPr>
          <w:rFonts w:asciiTheme="majorHAnsi" w:hAnsiTheme="majorHAnsi" w:cstheme="majorHAnsi"/>
        </w:rPr>
      </w:pPr>
    </w:p>
    <w:p w14:paraId="0E660331" w14:textId="15EBD960" w:rsidR="00D21982" w:rsidRPr="00A5344E" w:rsidRDefault="00D21982" w:rsidP="00D21982">
      <w:pPr>
        <w:pStyle w:val="Beschriftung"/>
        <w:keepNext/>
        <w:rPr>
          <w:rFonts w:asciiTheme="majorHAnsi" w:hAnsiTheme="majorHAnsi" w:cstheme="majorHAnsi"/>
          <w:b/>
          <w:bCs w:val="0"/>
        </w:rPr>
      </w:pPr>
      <w:bookmarkStart w:id="25" w:name="_Ref185250784"/>
      <w:r w:rsidRPr="00A5344E">
        <w:rPr>
          <w:rFonts w:asciiTheme="majorHAnsi" w:hAnsiTheme="majorHAnsi" w:cstheme="majorHAnsi"/>
          <w:b/>
          <w:bCs w:val="0"/>
        </w:rPr>
        <w:lastRenderedPageBreak/>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4</w:t>
      </w:r>
      <w:r w:rsidR="007732EE" w:rsidRPr="00A5344E">
        <w:rPr>
          <w:rFonts w:asciiTheme="majorHAnsi" w:hAnsiTheme="majorHAnsi" w:cstheme="majorHAnsi"/>
          <w:b/>
          <w:bCs w:val="0"/>
        </w:rPr>
        <w:fldChar w:fldCharType="end"/>
      </w:r>
      <w:bookmarkEnd w:id="25"/>
      <w:r w:rsidRPr="00A5344E">
        <w:rPr>
          <w:rFonts w:asciiTheme="majorHAnsi" w:hAnsiTheme="majorHAnsi" w:cstheme="majorHAnsi"/>
          <w:b/>
          <w:bCs w:val="0"/>
        </w:rPr>
        <w:t>:</w:t>
      </w:r>
      <w:r w:rsidRPr="00A5344E">
        <w:rPr>
          <w:rFonts w:asciiTheme="majorHAnsi" w:hAnsiTheme="majorHAnsi" w:cstheme="majorHAnsi"/>
          <w:b/>
          <w:bCs w:val="0"/>
        </w:rPr>
        <w:tab/>
        <w:t>Prognose Entwicklung der Lastenausgleiche von 2025</w:t>
      </w:r>
      <w:r w:rsidR="002478B1">
        <w:rPr>
          <w:rFonts w:asciiTheme="majorHAnsi" w:hAnsiTheme="majorHAnsi" w:cstheme="majorHAnsi"/>
          <w:b/>
          <w:bCs w:val="0"/>
        </w:rPr>
        <w:t>–</w:t>
      </w:r>
      <w:r w:rsidRPr="00A5344E">
        <w:rPr>
          <w:rFonts w:asciiTheme="majorHAnsi" w:hAnsiTheme="majorHAnsi" w:cstheme="majorHAnsi"/>
          <w:b/>
          <w:bCs w:val="0"/>
        </w:rPr>
        <w:t>2029</w:t>
      </w:r>
    </w:p>
    <w:tbl>
      <w:tblPr>
        <w:tblStyle w:val="Ecoplankombi"/>
        <w:tblW w:w="5000" w:type="pct"/>
        <w:jc w:val="right"/>
        <w:tblLook w:val="04A0" w:firstRow="1" w:lastRow="0" w:firstColumn="1" w:lastColumn="0" w:noHBand="0" w:noVBand="1"/>
      </w:tblPr>
      <w:tblGrid>
        <w:gridCol w:w="3305"/>
        <w:gridCol w:w="1335"/>
        <w:gridCol w:w="1335"/>
        <w:gridCol w:w="1335"/>
        <w:gridCol w:w="1337"/>
        <w:gridCol w:w="1331"/>
      </w:tblGrid>
      <w:tr w:rsidR="00FA0916" w:rsidRPr="00A5344E" w14:paraId="5CF6409A" w14:textId="77777777" w:rsidTr="004D0DAA">
        <w:trPr>
          <w:cnfStyle w:val="100000000000" w:firstRow="1" w:lastRow="0" w:firstColumn="0" w:lastColumn="0" w:oddVBand="0" w:evenVBand="0" w:oddHBand="0" w:evenHBand="0" w:firstRowFirstColumn="0" w:firstRowLastColumn="0" w:lastRowFirstColumn="0" w:lastRowLastColumn="0"/>
          <w:trHeight w:val="330"/>
          <w:jc w:val="right"/>
        </w:trPr>
        <w:tc>
          <w:tcPr>
            <w:tcW w:w="1656" w:type="pct"/>
            <w:noWrap/>
            <w:hideMark/>
          </w:tcPr>
          <w:p w14:paraId="0B816C60" w14:textId="3B6A14A4" w:rsidR="00FA0916" w:rsidRPr="00A5344E" w:rsidRDefault="00FA0916" w:rsidP="00FA0916">
            <w:pPr>
              <w:pStyle w:val="Tabellentext"/>
              <w:rPr>
                <w:rFonts w:asciiTheme="majorHAnsi" w:hAnsiTheme="majorHAnsi" w:cstheme="majorHAnsi"/>
              </w:rPr>
            </w:pPr>
          </w:p>
        </w:tc>
        <w:tc>
          <w:tcPr>
            <w:tcW w:w="669" w:type="pct"/>
            <w:noWrap/>
            <w:hideMark/>
          </w:tcPr>
          <w:p w14:paraId="7F274B14" w14:textId="3062C38A"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2025</w:t>
            </w:r>
          </w:p>
        </w:tc>
        <w:tc>
          <w:tcPr>
            <w:tcW w:w="669" w:type="pct"/>
            <w:noWrap/>
            <w:hideMark/>
          </w:tcPr>
          <w:p w14:paraId="217844EA" w14:textId="53AD367C"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2026</w:t>
            </w:r>
          </w:p>
        </w:tc>
        <w:tc>
          <w:tcPr>
            <w:tcW w:w="669" w:type="pct"/>
            <w:noWrap/>
            <w:hideMark/>
          </w:tcPr>
          <w:p w14:paraId="1DF88839" w14:textId="7D49D7F4"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2027</w:t>
            </w:r>
          </w:p>
        </w:tc>
        <w:tc>
          <w:tcPr>
            <w:tcW w:w="670" w:type="pct"/>
            <w:noWrap/>
            <w:hideMark/>
          </w:tcPr>
          <w:p w14:paraId="628EA38F" w14:textId="223DBAE9"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2028</w:t>
            </w:r>
          </w:p>
        </w:tc>
        <w:tc>
          <w:tcPr>
            <w:tcW w:w="667" w:type="pct"/>
            <w:noWrap/>
            <w:hideMark/>
          </w:tcPr>
          <w:p w14:paraId="15258F47" w14:textId="4BFED45E"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2029</w:t>
            </w:r>
          </w:p>
        </w:tc>
      </w:tr>
      <w:tr w:rsidR="00FA0916" w:rsidRPr="00A5344E" w14:paraId="57A96CFC" w14:textId="77777777" w:rsidTr="004D0DAA">
        <w:trPr>
          <w:cnfStyle w:val="000000100000" w:firstRow="0" w:lastRow="0" w:firstColumn="0" w:lastColumn="0" w:oddVBand="0" w:evenVBand="0" w:oddHBand="1" w:evenHBand="0" w:firstRowFirstColumn="0" w:firstRowLastColumn="0" w:lastRowFirstColumn="0" w:lastRowLastColumn="0"/>
          <w:trHeight w:val="330"/>
          <w:jc w:val="right"/>
        </w:trPr>
        <w:tc>
          <w:tcPr>
            <w:tcW w:w="1656" w:type="pct"/>
            <w:noWrap/>
            <w:hideMark/>
          </w:tcPr>
          <w:p w14:paraId="6E193B6B" w14:textId="6CF9E37C" w:rsidR="00FA0916" w:rsidRPr="00A5344E" w:rsidRDefault="00FA0916" w:rsidP="00FA0916">
            <w:pPr>
              <w:pStyle w:val="Tabellentext"/>
              <w:rPr>
                <w:rFonts w:asciiTheme="majorHAnsi" w:hAnsiTheme="majorHAnsi" w:cstheme="majorHAnsi"/>
                <w:b/>
                <w:bCs/>
                <w:highlight w:val="red"/>
              </w:rPr>
            </w:pPr>
            <w:r w:rsidRPr="00A5344E">
              <w:rPr>
                <w:rFonts w:asciiTheme="majorHAnsi" w:hAnsiTheme="majorHAnsi" w:cstheme="majorHAnsi"/>
                <w:b/>
                <w:bCs/>
              </w:rPr>
              <w:t>LA Lehrergehälter</w:t>
            </w:r>
          </w:p>
        </w:tc>
        <w:tc>
          <w:tcPr>
            <w:tcW w:w="669" w:type="pct"/>
            <w:noWrap/>
            <w:hideMark/>
          </w:tcPr>
          <w:p w14:paraId="59097227" w14:textId="0DF97647"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462’750’000 </w:t>
            </w:r>
          </w:p>
        </w:tc>
        <w:tc>
          <w:tcPr>
            <w:tcW w:w="669" w:type="pct"/>
            <w:noWrap/>
            <w:hideMark/>
          </w:tcPr>
          <w:p w14:paraId="5A6D2CCA" w14:textId="1663A1AB"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469’020’000 </w:t>
            </w:r>
          </w:p>
        </w:tc>
        <w:tc>
          <w:tcPr>
            <w:tcW w:w="669" w:type="pct"/>
            <w:noWrap/>
            <w:hideMark/>
          </w:tcPr>
          <w:p w14:paraId="295C2D6E" w14:textId="68AC386F"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468’600’000 </w:t>
            </w:r>
          </w:p>
        </w:tc>
        <w:tc>
          <w:tcPr>
            <w:tcW w:w="670" w:type="pct"/>
            <w:noWrap/>
            <w:hideMark/>
          </w:tcPr>
          <w:p w14:paraId="5047ABF4" w14:textId="754A9830"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472’140’000 </w:t>
            </w:r>
          </w:p>
        </w:tc>
        <w:tc>
          <w:tcPr>
            <w:tcW w:w="667" w:type="pct"/>
            <w:noWrap/>
            <w:hideMark/>
          </w:tcPr>
          <w:p w14:paraId="689C850F" w14:textId="0367E04C"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477’630’000 </w:t>
            </w:r>
          </w:p>
        </w:tc>
      </w:tr>
      <w:tr w:rsidR="00FA0916" w:rsidRPr="00A5344E" w14:paraId="4E1D7699" w14:textId="77777777" w:rsidTr="004D0DAA">
        <w:trPr>
          <w:cnfStyle w:val="000000010000" w:firstRow="0" w:lastRow="0" w:firstColumn="0" w:lastColumn="0" w:oddVBand="0" w:evenVBand="0" w:oddHBand="0" w:evenHBand="1" w:firstRowFirstColumn="0" w:firstRowLastColumn="0" w:lastRowFirstColumn="0" w:lastRowLastColumn="0"/>
          <w:trHeight w:val="330"/>
          <w:jc w:val="right"/>
        </w:trPr>
        <w:tc>
          <w:tcPr>
            <w:tcW w:w="1656" w:type="pct"/>
            <w:noWrap/>
            <w:hideMark/>
          </w:tcPr>
          <w:p w14:paraId="19C6E5E7" w14:textId="01888B6C" w:rsidR="00FA0916" w:rsidRPr="00A5344E" w:rsidRDefault="00FA0916" w:rsidP="00FA0916">
            <w:pPr>
              <w:pStyle w:val="Tabellentext"/>
              <w:rPr>
                <w:rFonts w:asciiTheme="majorHAnsi" w:hAnsiTheme="majorHAnsi" w:cstheme="majorHAnsi"/>
                <w:b/>
                <w:bCs/>
              </w:rPr>
            </w:pPr>
            <w:r w:rsidRPr="00A5344E">
              <w:rPr>
                <w:rFonts w:asciiTheme="majorHAnsi" w:hAnsiTheme="majorHAnsi" w:cstheme="majorHAnsi"/>
                <w:b/>
                <w:bCs/>
              </w:rPr>
              <w:t>LA öffentlicher Verkehr</w:t>
            </w:r>
          </w:p>
        </w:tc>
        <w:tc>
          <w:tcPr>
            <w:tcW w:w="669" w:type="pct"/>
            <w:noWrap/>
            <w:hideMark/>
          </w:tcPr>
          <w:p w14:paraId="7E6E8709" w14:textId="738551A1"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164’000’000 </w:t>
            </w:r>
          </w:p>
        </w:tc>
        <w:tc>
          <w:tcPr>
            <w:tcW w:w="669" w:type="pct"/>
            <w:noWrap/>
            <w:hideMark/>
          </w:tcPr>
          <w:p w14:paraId="713F6658" w14:textId="058802F9"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165’000’000 </w:t>
            </w:r>
          </w:p>
        </w:tc>
        <w:tc>
          <w:tcPr>
            <w:tcW w:w="669" w:type="pct"/>
            <w:noWrap/>
            <w:hideMark/>
          </w:tcPr>
          <w:p w14:paraId="28462466" w14:textId="25F7C3AF"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165’000’000 </w:t>
            </w:r>
          </w:p>
        </w:tc>
        <w:tc>
          <w:tcPr>
            <w:tcW w:w="670" w:type="pct"/>
            <w:noWrap/>
            <w:hideMark/>
          </w:tcPr>
          <w:p w14:paraId="25EF1C39" w14:textId="77501359"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168’000’000 </w:t>
            </w:r>
          </w:p>
        </w:tc>
        <w:tc>
          <w:tcPr>
            <w:tcW w:w="667" w:type="pct"/>
            <w:noWrap/>
            <w:hideMark/>
          </w:tcPr>
          <w:p w14:paraId="611A6EE7" w14:textId="54346FC3"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168’000’000 </w:t>
            </w:r>
          </w:p>
        </w:tc>
      </w:tr>
      <w:tr w:rsidR="00FA0916" w:rsidRPr="00A5344E" w14:paraId="51B92B23" w14:textId="77777777" w:rsidTr="004D0DAA">
        <w:trPr>
          <w:cnfStyle w:val="000000100000" w:firstRow="0" w:lastRow="0" w:firstColumn="0" w:lastColumn="0" w:oddVBand="0" w:evenVBand="0" w:oddHBand="1" w:evenHBand="0" w:firstRowFirstColumn="0" w:firstRowLastColumn="0" w:lastRowFirstColumn="0" w:lastRowLastColumn="0"/>
          <w:trHeight w:val="330"/>
          <w:jc w:val="right"/>
        </w:trPr>
        <w:tc>
          <w:tcPr>
            <w:tcW w:w="1656" w:type="pct"/>
            <w:noWrap/>
            <w:hideMark/>
          </w:tcPr>
          <w:p w14:paraId="5B5BADE3" w14:textId="42D70A8A" w:rsidR="00FA0916" w:rsidRPr="00A5344E" w:rsidRDefault="00FA0916" w:rsidP="00FA0916">
            <w:pPr>
              <w:pStyle w:val="Tabellentext"/>
              <w:rPr>
                <w:rFonts w:asciiTheme="majorHAnsi" w:hAnsiTheme="majorHAnsi" w:cstheme="majorHAnsi"/>
                <w:b/>
                <w:bCs/>
              </w:rPr>
            </w:pPr>
            <w:r w:rsidRPr="00F978FE">
              <w:rPr>
                <w:rFonts w:asciiTheme="majorHAnsi" w:hAnsiTheme="majorHAnsi" w:cstheme="majorHAnsi"/>
                <w:b/>
                <w:bCs/>
              </w:rPr>
              <w:t xml:space="preserve">LA </w:t>
            </w:r>
            <w:r w:rsidR="001944E1" w:rsidRPr="00F978FE">
              <w:rPr>
                <w:rFonts w:asciiTheme="majorHAnsi" w:hAnsiTheme="majorHAnsi" w:cstheme="majorHAnsi"/>
                <w:b/>
                <w:bCs/>
              </w:rPr>
              <w:t>Soziales</w:t>
            </w:r>
            <w:r w:rsidR="00F978FE" w:rsidRPr="00F978FE">
              <w:rPr>
                <w:rFonts w:asciiTheme="majorHAnsi" w:hAnsiTheme="majorHAnsi" w:cstheme="majorHAnsi"/>
                <w:b/>
                <w:bCs/>
              </w:rPr>
              <w:t>/Sozialhilfe</w:t>
            </w:r>
          </w:p>
        </w:tc>
        <w:tc>
          <w:tcPr>
            <w:tcW w:w="669" w:type="pct"/>
            <w:noWrap/>
            <w:hideMark/>
          </w:tcPr>
          <w:p w14:paraId="672AC34A" w14:textId="5A887D58"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651’561’775 </w:t>
            </w:r>
          </w:p>
        </w:tc>
        <w:tc>
          <w:tcPr>
            <w:tcW w:w="669" w:type="pct"/>
            <w:noWrap/>
            <w:hideMark/>
          </w:tcPr>
          <w:p w14:paraId="6E92E850" w14:textId="6DAF3DC4"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679’079’573 </w:t>
            </w:r>
          </w:p>
        </w:tc>
        <w:tc>
          <w:tcPr>
            <w:tcW w:w="669" w:type="pct"/>
            <w:noWrap/>
            <w:hideMark/>
          </w:tcPr>
          <w:p w14:paraId="14E73DA0" w14:textId="41D6B696"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690’961’863 </w:t>
            </w:r>
          </w:p>
        </w:tc>
        <w:tc>
          <w:tcPr>
            <w:tcW w:w="670" w:type="pct"/>
            <w:noWrap/>
            <w:hideMark/>
          </w:tcPr>
          <w:p w14:paraId="0633E0A5" w14:textId="3320D229"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692’229’887 </w:t>
            </w:r>
          </w:p>
        </w:tc>
        <w:tc>
          <w:tcPr>
            <w:tcW w:w="667" w:type="pct"/>
            <w:noWrap/>
            <w:hideMark/>
          </w:tcPr>
          <w:p w14:paraId="0F3DD24A" w14:textId="4C4DD71D"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699’675’363 </w:t>
            </w:r>
          </w:p>
        </w:tc>
      </w:tr>
      <w:tr w:rsidR="00FA0916" w:rsidRPr="00A5344E" w14:paraId="38049594" w14:textId="77777777" w:rsidTr="004D0DAA">
        <w:trPr>
          <w:cnfStyle w:val="000000010000" w:firstRow="0" w:lastRow="0" w:firstColumn="0" w:lastColumn="0" w:oddVBand="0" w:evenVBand="0" w:oddHBand="0" w:evenHBand="1" w:firstRowFirstColumn="0" w:firstRowLastColumn="0" w:lastRowFirstColumn="0" w:lastRowLastColumn="0"/>
          <w:trHeight w:val="330"/>
          <w:jc w:val="right"/>
        </w:trPr>
        <w:tc>
          <w:tcPr>
            <w:tcW w:w="1656" w:type="pct"/>
            <w:noWrap/>
            <w:hideMark/>
          </w:tcPr>
          <w:p w14:paraId="47B8B7C7" w14:textId="2FC25C49" w:rsidR="00FA0916" w:rsidRPr="00A5344E" w:rsidRDefault="00FA0916" w:rsidP="00FA0916">
            <w:pPr>
              <w:pStyle w:val="Tabellentext"/>
              <w:rPr>
                <w:rFonts w:asciiTheme="majorHAnsi" w:hAnsiTheme="majorHAnsi" w:cstheme="majorHAnsi"/>
                <w:b/>
                <w:bCs/>
              </w:rPr>
            </w:pPr>
            <w:r w:rsidRPr="00A5344E">
              <w:rPr>
                <w:rFonts w:asciiTheme="majorHAnsi" w:hAnsiTheme="majorHAnsi" w:cstheme="majorHAnsi"/>
                <w:b/>
                <w:bCs/>
              </w:rPr>
              <w:t>LA Ergänzungsleistungen</w:t>
            </w:r>
            <w:r w:rsidR="00BE3AB6">
              <w:rPr>
                <w:rFonts w:asciiTheme="majorHAnsi" w:hAnsiTheme="majorHAnsi" w:cstheme="majorHAnsi"/>
                <w:b/>
                <w:bCs/>
              </w:rPr>
              <w:t xml:space="preserve"> zur AHV/IV</w:t>
            </w:r>
          </w:p>
        </w:tc>
        <w:tc>
          <w:tcPr>
            <w:tcW w:w="669" w:type="pct"/>
            <w:noWrap/>
            <w:hideMark/>
          </w:tcPr>
          <w:p w14:paraId="146F33DF" w14:textId="0BD50A9C"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258’400’000 </w:t>
            </w:r>
          </w:p>
        </w:tc>
        <w:tc>
          <w:tcPr>
            <w:tcW w:w="669" w:type="pct"/>
            <w:noWrap/>
            <w:hideMark/>
          </w:tcPr>
          <w:p w14:paraId="0925BF0B" w14:textId="58AA7A0C"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261’000’000 </w:t>
            </w:r>
          </w:p>
        </w:tc>
        <w:tc>
          <w:tcPr>
            <w:tcW w:w="669" w:type="pct"/>
            <w:noWrap/>
            <w:hideMark/>
          </w:tcPr>
          <w:p w14:paraId="081EB1FC" w14:textId="1E40F3D2"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264’900’000 </w:t>
            </w:r>
          </w:p>
        </w:tc>
        <w:tc>
          <w:tcPr>
            <w:tcW w:w="670" w:type="pct"/>
            <w:noWrap/>
            <w:hideMark/>
          </w:tcPr>
          <w:p w14:paraId="1C9ED1BD" w14:textId="0A6AD5F7"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271’400’000 </w:t>
            </w:r>
          </w:p>
        </w:tc>
        <w:tc>
          <w:tcPr>
            <w:tcW w:w="667" w:type="pct"/>
            <w:noWrap/>
            <w:hideMark/>
          </w:tcPr>
          <w:p w14:paraId="13E0F430" w14:textId="54E68122"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271’400’000 </w:t>
            </w:r>
          </w:p>
        </w:tc>
      </w:tr>
      <w:tr w:rsidR="00FA0916" w:rsidRPr="00A5344E" w14:paraId="54E8C69B" w14:textId="77777777" w:rsidTr="004D0DAA">
        <w:trPr>
          <w:cnfStyle w:val="000000100000" w:firstRow="0" w:lastRow="0" w:firstColumn="0" w:lastColumn="0" w:oddVBand="0" w:evenVBand="0" w:oddHBand="1" w:evenHBand="0" w:firstRowFirstColumn="0" w:firstRowLastColumn="0" w:lastRowFirstColumn="0" w:lastRowLastColumn="0"/>
          <w:trHeight w:val="330"/>
          <w:jc w:val="right"/>
        </w:trPr>
        <w:tc>
          <w:tcPr>
            <w:tcW w:w="1656" w:type="pct"/>
            <w:noWrap/>
            <w:hideMark/>
          </w:tcPr>
          <w:p w14:paraId="22EB14D3" w14:textId="309212E7" w:rsidR="00FA0916" w:rsidRPr="00A5344E" w:rsidRDefault="00FA0916" w:rsidP="00FA0916">
            <w:pPr>
              <w:pStyle w:val="Tabellentext"/>
              <w:rPr>
                <w:rFonts w:asciiTheme="majorHAnsi" w:hAnsiTheme="majorHAnsi" w:cstheme="majorHAnsi"/>
                <w:b/>
                <w:bCs/>
              </w:rPr>
            </w:pPr>
            <w:r w:rsidRPr="00A5344E">
              <w:rPr>
                <w:rFonts w:asciiTheme="majorHAnsi" w:hAnsiTheme="majorHAnsi" w:cstheme="majorHAnsi"/>
                <w:b/>
                <w:bCs/>
              </w:rPr>
              <w:t>LA Familienzulagen</w:t>
            </w:r>
          </w:p>
        </w:tc>
        <w:tc>
          <w:tcPr>
            <w:tcW w:w="669" w:type="pct"/>
            <w:noWrap/>
            <w:hideMark/>
          </w:tcPr>
          <w:p w14:paraId="2F8AB620" w14:textId="6F45BE8F"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5’400’000 </w:t>
            </w:r>
          </w:p>
        </w:tc>
        <w:tc>
          <w:tcPr>
            <w:tcW w:w="669" w:type="pct"/>
            <w:noWrap/>
            <w:hideMark/>
          </w:tcPr>
          <w:p w14:paraId="7779AA6F" w14:textId="2F0AD843"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5’400’000 </w:t>
            </w:r>
          </w:p>
        </w:tc>
        <w:tc>
          <w:tcPr>
            <w:tcW w:w="669" w:type="pct"/>
            <w:noWrap/>
            <w:hideMark/>
          </w:tcPr>
          <w:p w14:paraId="118C691A" w14:textId="6FDC5207"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5’650’000 </w:t>
            </w:r>
          </w:p>
        </w:tc>
        <w:tc>
          <w:tcPr>
            <w:tcW w:w="670" w:type="pct"/>
            <w:noWrap/>
            <w:hideMark/>
          </w:tcPr>
          <w:p w14:paraId="52A8B8D3" w14:textId="2F7E0FF7"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5’750’000 </w:t>
            </w:r>
          </w:p>
        </w:tc>
        <w:tc>
          <w:tcPr>
            <w:tcW w:w="667" w:type="pct"/>
            <w:noWrap/>
            <w:hideMark/>
          </w:tcPr>
          <w:p w14:paraId="2DC76134" w14:textId="6D9F53C8"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5’750’000 </w:t>
            </w:r>
          </w:p>
        </w:tc>
      </w:tr>
      <w:tr w:rsidR="00FA0916" w:rsidRPr="00A5344E" w14:paraId="154987C6" w14:textId="77777777" w:rsidTr="004D0DAA">
        <w:trPr>
          <w:cnfStyle w:val="000000010000" w:firstRow="0" w:lastRow="0" w:firstColumn="0" w:lastColumn="0" w:oddVBand="0" w:evenVBand="0" w:oddHBand="0" w:evenHBand="1" w:firstRowFirstColumn="0" w:firstRowLastColumn="0" w:lastRowFirstColumn="0" w:lastRowLastColumn="0"/>
          <w:trHeight w:val="330"/>
          <w:jc w:val="right"/>
        </w:trPr>
        <w:tc>
          <w:tcPr>
            <w:tcW w:w="1656" w:type="pct"/>
            <w:noWrap/>
            <w:hideMark/>
          </w:tcPr>
          <w:p w14:paraId="0118036D" w14:textId="753083C2" w:rsidR="00FA0916" w:rsidRPr="00A5344E" w:rsidRDefault="00FA0916" w:rsidP="00FA0916">
            <w:pPr>
              <w:pStyle w:val="Tabellentext"/>
              <w:rPr>
                <w:rFonts w:asciiTheme="majorHAnsi" w:hAnsiTheme="majorHAnsi" w:cstheme="majorHAnsi"/>
                <w:b/>
                <w:bCs/>
              </w:rPr>
            </w:pPr>
            <w:r w:rsidRPr="00A5344E">
              <w:rPr>
                <w:rFonts w:asciiTheme="majorHAnsi" w:hAnsiTheme="majorHAnsi" w:cstheme="majorHAnsi"/>
                <w:b/>
                <w:bCs/>
              </w:rPr>
              <w:t>LA "neue Aufgabenteilung"</w:t>
            </w:r>
          </w:p>
        </w:tc>
        <w:tc>
          <w:tcPr>
            <w:tcW w:w="669" w:type="pct"/>
            <w:noWrap/>
            <w:hideMark/>
          </w:tcPr>
          <w:p w14:paraId="11481B48" w14:textId="4884AE69"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193’049’677 </w:t>
            </w:r>
          </w:p>
        </w:tc>
        <w:tc>
          <w:tcPr>
            <w:tcW w:w="669" w:type="pct"/>
            <w:noWrap/>
            <w:hideMark/>
          </w:tcPr>
          <w:p w14:paraId="164B52DB" w14:textId="67E284E6"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193’049’677 </w:t>
            </w:r>
          </w:p>
        </w:tc>
        <w:tc>
          <w:tcPr>
            <w:tcW w:w="669" w:type="pct"/>
            <w:noWrap/>
            <w:hideMark/>
          </w:tcPr>
          <w:p w14:paraId="62B6554A" w14:textId="4E7CAD5D"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193’049’677 </w:t>
            </w:r>
          </w:p>
        </w:tc>
        <w:tc>
          <w:tcPr>
            <w:tcW w:w="670" w:type="pct"/>
            <w:noWrap/>
            <w:hideMark/>
          </w:tcPr>
          <w:p w14:paraId="07F2E325" w14:textId="2F10063E"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193’049’677 </w:t>
            </w:r>
          </w:p>
        </w:tc>
        <w:tc>
          <w:tcPr>
            <w:tcW w:w="667" w:type="pct"/>
            <w:noWrap/>
            <w:hideMark/>
          </w:tcPr>
          <w:p w14:paraId="0C00C9C7" w14:textId="7C38DA32" w:rsidR="00FA0916" w:rsidRPr="00A5344E" w:rsidRDefault="00FA0916" w:rsidP="00FA0916">
            <w:pPr>
              <w:pStyle w:val="Tabellentext"/>
              <w:jc w:val="right"/>
              <w:rPr>
                <w:rFonts w:asciiTheme="majorHAnsi" w:hAnsiTheme="majorHAnsi" w:cstheme="majorHAnsi"/>
              </w:rPr>
            </w:pPr>
            <w:r w:rsidRPr="00A5344E">
              <w:rPr>
                <w:rFonts w:asciiTheme="majorHAnsi" w:hAnsiTheme="majorHAnsi" w:cstheme="majorHAnsi"/>
              </w:rPr>
              <w:t xml:space="preserve"> 193’049’677 </w:t>
            </w:r>
          </w:p>
        </w:tc>
      </w:tr>
      <w:tr w:rsidR="00FA0916" w:rsidRPr="00A5344E" w14:paraId="04C5A668" w14:textId="77777777" w:rsidTr="004D0DAA">
        <w:trPr>
          <w:cnfStyle w:val="000000100000" w:firstRow="0" w:lastRow="0" w:firstColumn="0" w:lastColumn="0" w:oddVBand="0" w:evenVBand="0" w:oddHBand="1" w:evenHBand="0" w:firstRowFirstColumn="0" w:firstRowLastColumn="0" w:lastRowFirstColumn="0" w:lastRowLastColumn="0"/>
          <w:trHeight w:val="330"/>
          <w:jc w:val="right"/>
        </w:trPr>
        <w:tc>
          <w:tcPr>
            <w:tcW w:w="1656" w:type="pct"/>
            <w:shd w:val="clear" w:color="auto" w:fill="D3DDE2" w:themeFill="accent1" w:themeFillTint="33"/>
            <w:noWrap/>
          </w:tcPr>
          <w:p w14:paraId="2F36F594" w14:textId="419CA3C8" w:rsidR="00FA0916" w:rsidRPr="00A5344E" w:rsidRDefault="00FA0916" w:rsidP="00FA0916">
            <w:pPr>
              <w:pStyle w:val="Tabellentext"/>
              <w:rPr>
                <w:rFonts w:asciiTheme="majorHAnsi" w:hAnsiTheme="majorHAnsi" w:cstheme="majorHAnsi"/>
                <w:b/>
                <w:bCs/>
              </w:rPr>
            </w:pPr>
            <w:r w:rsidRPr="00A5344E">
              <w:rPr>
                <w:rFonts w:asciiTheme="majorHAnsi" w:hAnsiTheme="majorHAnsi" w:cstheme="majorHAnsi"/>
                <w:b/>
                <w:bCs/>
              </w:rPr>
              <w:t>Total Lastenausgleiche</w:t>
            </w:r>
          </w:p>
        </w:tc>
        <w:tc>
          <w:tcPr>
            <w:tcW w:w="669" w:type="pct"/>
            <w:shd w:val="clear" w:color="auto" w:fill="D3DDE2" w:themeFill="accent1" w:themeFillTint="33"/>
            <w:noWrap/>
          </w:tcPr>
          <w:p w14:paraId="6A780648" w14:textId="73F31FA8"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 xml:space="preserve"> 1’735’161’452 </w:t>
            </w:r>
          </w:p>
        </w:tc>
        <w:tc>
          <w:tcPr>
            <w:tcW w:w="669" w:type="pct"/>
            <w:shd w:val="clear" w:color="auto" w:fill="D3DDE2" w:themeFill="accent1" w:themeFillTint="33"/>
            <w:noWrap/>
          </w:tcPr>
          <w:p w14:paraId="1995D7FE" w14:textId="4943782B"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 xml:space="preserve"> 1’772’549’250 </w:t>
            </w:r>
          </w:p>
        </w:tc>
        <w:tc>
          <w:tcPr>
            <w:tcW w:w="669" w:type="pct"/>
            <w:shd w:val="clear" w:color="auto" w:fill="D3DDE2" w:themeFill="accent1" w:themeFillTint="33"/>
            <w:noWrap/>
          </w:tcPr>
          <w:p w14:paraId="248BEAF7" w14:textId="2EBC760C"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 xml:space="preserve"> 1’788’161’540 </w:t>
            </w:r>
          </w:p>
        </w:tc>
        <w:tc>
          <w:tcPr>
            <w:tcW w:w="670" w:type="pct"/>
            <w:shd w:val="clear" w:color="auto" w:fill="D3DDE2" w:themeFill="accent1" w:themeFillTint="33"/>
            <w:noWrap/>
          </w:tcPr>
          <w:p w14:paraId="26C1C858" w14:textId="7656016B"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 xml:space="preserve"> 1’802’569’564 </w:t>
            </w:r>
          </w:p>
        </w:tc>
        <w:tc>
          <w:tcPr>
            <w:tcW w:w="667" w:type="pct"/>
            <w:shd w:val="clear" w:color="auto" w:fill="D3DDE2" w:themeFill="accent1" w:themeFillTint="33"/>
            <w:noWrap/>
          </w:tcPr>
          <w:p w14:paraId="732F9DCD" w14:textId="6A63E22A" w:rsidR="00FA0916" w:rsidRPr="00A5344E" w:rsidRDefault="00FA0916" w:rsidP="00FA0916">
            <w:pPr>
              <w:pStyle w:val="Tabellentext"/>
              <w:jc w:val="right"/>
              <w:rPr>
                <w:rFonts w:asciiTheme="majorHAnsi" w:hAnsiTheme="majorHAnsi" w:cstheme="majorHAnsi"/>
                <w:b/>
                <w:bCs/>
              </w:rPr>
            </w:pPr>
            <w:r w:rsidRPr="00A5344E">
              <w:rPr>
                <w:rFonts w:asciiTheme="majorHAnsi" w:hAnsiTheme="majorHAnsi" w:cstheme="majorHAnsi"/>
                <w:b/>
                <w:bCs/>
              </w:rPr>
              <w:t xml:space="preserve"> 1’815’505’040 </w:t>
            </w:r>
          </w:p>
        </w:tc>
      </w:tr>
      <w:tr w:rsidR="00FA0916" w:rsidRPr="00A5344E" w14:paraId="7D50E9CA" w14:textId="77777777" w:rsidTr="004D0DAA">
        <w:trPr>
          <w:cnfStyle w:val="000000010000" w:firstRow="0" w:lastRow="0" w:firstColumn="0" w:lastColumn="0" w:oddVBand="0" w:evenVBand="0" w:oddHBand="0" w:evenHBand="1" w:firstRowFirstColumn="0" w:firstRowLastColumn="0" w:lastRowFirstColumn="0" w:lastRowLastColumn="0"/>
          <w:trHeight w:val="330"/>
          <w:jc w:val="right"/>
        </w:trPr>
        <w:tc>
          <w:tcPr>
            <w:tcW w:w="1656" w:type="pct"/>
            <w:noWrap/>
          </w:tcPr>
          <w:p w14:paraId="29011B39" w14:textId="31940654" w:rsidR="00FA0916" w:rsidRPr="00A5344E" w:rsidRDefault="00FA0916" w:rsidP="00FA0916">
            <w:pPr>
              <w:pStyle w:val="Tabellentext"/>
              <w:rPr>
                <w:rFonts w:asciiTheme="majorHAnsi" w:hAnsiTheme="majorHAnsi" w:cstheme="majorHAnsi"/>
                <w:b/>
                <w:bCs/>
                <w:i/>
                <w:iCs/>
              </w:rPr>
            </w:pPr>
            <w:r w:rsidRPr="00A5344E">
              <w:rPr>
                <w:rFonts w:asciiTheme="majorHAnsi" w:hAnsiTheme="majorHAnsi" w:cstheme="majorHAnsi"/>
                <w:b/>
                <w:bCs/>
                <w:i/>
                <w:iCs/>
              </w:rPr>
              <w:t xml:space="preserve">Veränderung zum Vorjahr in </w:t>
            </w:r>
            <w:r w:rsidR="00827FD3" w:rsidRPr="00A5344E">
              <w:rPr>
                <w:rFonts w:asciiTheme="majorHAnsi" w:hAnsiTheme="majorHAnsi" w:cstheme="majorHAnsi"/>
                <w:b/>
                <w:bCs/>
                <w:i/>
                <w:iCs/>
              </w:rPr>
              <w:t>Prozent</w:t>
            </w:r>
          </w:p>
        </w:tc>
        <w:tc>
          <w:tcPr>
            <w:tcW w:w="669" w:type="pct"/>
            <w:noWrap/>
          </w:tcPr>
          <w:p w14:paraId="2A7E2430" w14:textId="18FB6B19" w:rsidR="00FA0916" w:rsidRPr="00A5344E" w:rsidRDefault="00FA0916" w:rsidP="00FA0916">
            <w:pPr>
              <w:pStyle w:val="Tabellentext"/>
              <w:jc w:val="right"/>
              <w:rPr>
                <w:rFonts w:asciiTheme="majorHAnsi" w:hAnsiTheme="majorHAnsi" w:cstheme="majorHAnsi"/>
                <w:i/>
                <w:iCs/>
              </w:rPr>
            </w:pPr>
            <w:r w:rsidRPr="00A5344E">
              <w:rPr>
                <w:rFonts w:asciiTheme="majorHAnsi" w:hAnsiTheme="majorHAnsi" w:cstheme="majorHAnsi"/>
                <w:i/>
                <w:iCs/>
              </w:rPr>
              <w:t>7.0</w:t>
            </w:r>
            <w:r w:rsidR="00827FD3" w:rsidRPr="00A5344E">
              <w:rPr>
                <w:rFonts w:asciiTheme="majorHAnsi" w:hAnsiTheme="majorHAnsi" w:cstheme="majorHAnsi"/>
                <w:i/>
                <w:iCs/>
              </w:rPr>
              <w:t>%</w:t>
            </w:r>
          </w:p>
        </w:tc>
        <w:tc>
          <w:tcPr>
            <w:tcW w:w="669" w:type="pct"/>
            <w:noWrap/>
          </w:tcPr>
          <w:p w14:paraId="443F0E0B" w14:textId="0FA6C3E2" w:rsidR="00FA0916" w:rsidRPr="00A5344E" w:rsidRDefault="00FA0916" w:rsidP="00FA0916">
            <w:pPr>
              <w:pStyle w:val="Tabellentext"/>
              <w:jc w:val="right"/>
              <w:rPr>
                <w:rFonts w:asciiTheme="majorHAnsi" w:hAnsiTheme="majorHAnsi" w:cstheme="majorHAnsi"/>
                <w:i/>
                <w:iCs/>
              </w:rPr>
            </w:pPr>
            <w:r w:rsidRPr="00A5344E">
              <w:rPr>
                <w:rFonts w:asciiTheme="majorHAnsi" w:hAnsiTheme="majorHAnsi" w:cstheme="majorHAnsi"/>
                <w:i/>
                <w:iCs/>
              </w:rPr>
              <w:t>2.2</w:t>
            </w:r>
            <w:r w:rsidR="00827FD3" w:rsidRPr="00A5344E">
              <w:rPr>
                <w:rFonts w:asciiTheme="majorHAnsi" w:hAnsiTheme="majorHAnsi" w:cstheme="majorHAnsi"/>
                <w:i/>
                <w:iCs/>
              </w:rPr>
              <w:t>%</w:t>
            </w:r>
          </w:p>
        </w:tc>
        <w:tc>
          <w:tcPr>
            <w:tcW w:w="669" w:type="pct"/>
            <w:noWrap/>
          </w:tcPr>
          <w:p w14:paraId="420A9636" w14:textId="0BD5D309" w:rsidR="00FA0916" w:rsidRPr="00A5344E" w:rsidRDefault="00FA0916" w:rsidP="00FA0916">
            <w:pPr>
              <w:pStyle w:val="Tabellentext"/>
              <w:jc w:val="right"/>
              <w:rPr>
                <w:rFonts w:asciiTheme="majorHAnsi" w:hAnsiTheme="majorHAnsi" w:cstheme="majorHAnsi"/>
                <w:i/>
                <w:iCs/>
              </w:rPr>
            </w:pPr>
            <w:r w:rsidRPr="00A5344E">
              <w:rPr>
                <w:rFonts w:asciiTheme="majorHAnsi" w:hAnsiTheme="majorHAnsi" w:cstheme="majorHAnsi"/>
                <w:i/>
                <w:iCs/>
              </w:rPr>
              <w:t>0.9</w:t>
            </w:r>
            <w:r w:rsidR="00827FD3" w:rsidRPr="00A5344E">
              <w:rPr>
                <w:rFonts w:asciiTheme="majorHAnsi" w:hAnsiTheme="majorHAnsi" w:cstheme="majorHAnsi"/>
                <w:i/>
                <w:iCs/>
              </w:rPr>
              <w:t>%</w:t>
            </w:r>
          </w:p>
        </w:tc>
        <w:tc>
          <w:tcPr>
            <w:tcW w:w="670" w:type="pct"/>
            <w:noWrap/>
          </w:tcPr>
          <w:p w14:paraId="2B3163C5" w14:textId="6B07AEB1" w:rsidR="00FA0916" w:rsidRPr="00A5344E" w:rsidRDefault="00FA0916" w:rsidP="00FA0916">
            <w:pPr>
              <w:pStyle w:val="Tabellentext"/>
              <w:jc w:val="right"/>
              <w:rPr>
                <w:rFonts w:asciiTheme="majorHAnsi" w:hAnsiTheme="majorHAnsi" w:cstheme="majorHAnsi"/>
                <w:i/>
                <w:iCs/>
              </w:rPr>
            </w:pPr>
            <w:r w:rsidRPr="00A5344E">
              <w:rPr>
                <w:rFonts w:asciiTheme="majorHAnsi" w:hAnsiTheme="majorHAnsi" w:cstheme="majorHAnsi"/>
                <w:i/>
                <w:iCs/>
              </w:rPr>
              <w:t>0.8</w:t>
            </w:r>
            <w:r w:rsidR="00827FD3" w:rsidRPr="00A5344E">
              <w:rPr>
                <w:rFonts w:asciiTheme="majorHAnsi" w:hAnsiTheme="majorHAnsi" w:cstheme="majorHAnsi"/>
                <w:i/>
                <w:iCs/>
              </w:rPr>
              <w:t>%</w:t>
            </w:r>
          </w:p>
        </w:tc>
        <w:tc>
          <w:tcPr>
            <w:tcW w:w="667" w:type="pct"/>
            <w:noWrap/>
          </w:tcPr>
          <w:p w14:paraId="20CD415A" w14:textId="55713E79" w:rsidR="00FA0916" w:rsidRPr="00A5344E" w:rsidRDefault="00FA0916" w:rsidP="00FA0916">
            <w:pPr>
              <w:pStyle w:val="Tabellentext"/>
              <w:jc w:val="right"/>
              <w:rPr>
                <w:rFonts w:asciiTheme="majorHAnsi" w:hAnsiTheme="majorHAnsi" w:cstheme="majorHAnsi"/>
                <w:i/>
                <w:iCs/>
              </w:rPr>
            </w:pPr>
            <w:r w:rsidRPr="00A5344E">
              <w:rPr>
                <w:rFonts w:asciiTheme="majorHAnsi" w:hAnsiTheme="majorHAnsi" w:cstheme="majorHAnsi"/>
                <w:i/>
                <w:iCs/>
              </w:rPr>
              <w:t>0.7</w:t>
            </w:r>
            <w:r w:rsidR="00827FD3" w:rsidRPr="00A5344E">
              <w:rPr>
                <w:rFonts w:asciiTheme="majorHAnsi" w:hAnsiTheme="majorHAnsi" w:cstheme="majorHAnsi"/>
                <w:i/>
                <w:iCs/>
              </w:rPr>
              <w:t>%</w:t>
            </w:r>
          </w:p>
        </w:tc>
      </w:tr>
    </w:tbl>
    <w:p w14:paraId="55E3A77B" w14:textId="7E94CA50" w:rsidR="00D21982" w:rsidRPr="00A5344E" w:rsidRDefault="004D0DAA" w:rsidP="004E4BBE">
      <w:pPr>
        <w:pStyle w:val="Textkrper"/>
        <w:rPr>
          <w:rFonts w:asciiTheme="majorHAnsi" w:hAnsiTheme="majorHAnsi" w:cstheme="majorHAnsi"/>
          <w:i/>
          <w:iCs/>
          <w:lang w:val="de-CH"/>
        </w:rPr>
      </w:pPr>
      <w:r w:rsidRPr="0034689A">
        <w:rPr>
          <w:rFonts w:asciiTheme="majorHAnsi" w:hAnsiTheme="majorHAnsi" w:cstheme="majorHAnsi"/>
          <w:i/>
          <w:iCs/>
          <w:noProof/>
        </w:rPr>
        <w:drawing>
          <wp:inline distT="0" distB="0" distL="0" distR="0" wp14:anchorId="2D22547A" wp14:editId="190F9813">
            <wp:extent cx="5819775" cy="4019550"/>
            <wp:effectExtent l="0" t="0" r="9525" b="0"/>
            <wp:docPr id="5418598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4019550"/>
                    </a:xfrm>
                    <a:prstGeom prst="rect">
                      <a:avLst/>
                    </a:prstGeom>
                    <a:noFill/>
                    <a:ln>
                      <a:noFill/>
                    </a:ln>
                  </pic:spPr>
                </pic:pic>
              </a:graphicData>
            </a:graphic>
          </wp:inline>
        </w:drawing>
      </w:r>
    </w:p>
    <w:p w14:paraId="01D8C676" w14:textId="77777777" w:rsidR="004E4BBE" w:rsidRPr="00A5344E" w:rsidRDefault="004E4BBE" w:rsidP="004E4BBE">
      <w:pPr>
        <w:rPr>
          <w:rFonts w:asciiTheme="majorHAnsi" w:hAnsiTheme="majorHAnsi" w:cstheme="majorHAnsi"/>
        </w:rPr>
      </w:pPr>
    </w:p>
    <w:p w14:paraId="187A0EE3" w14:textId="77777777" w:rsidR="004E4BBE" w:rsidRPr="00A5344E" w:rsidRDefault="004E4BBE" w:rsidP="004E4BBE">
      <w:pPr>
        <w:pStyle w:val="berschrift2nummeriert"/>
        <w:rPr>
          <w:rFonts w:cstheme="majorHAnsi"/>
        </w:rPr>
      </w:pPr>
      <w:bookmarkStart w:id="26" w:name="_Toc191888243"/>
      <w:r w:rsidRPr="00A5344E">
        <w:rPr>
          <w:rFonts w:cstheme="majorHAnsi"/>
        </w:rPr>
        <w:t>Lastenausgleichsystem – Anteil des Kantons</w:t>
      </w:r>
      <w:bookmarkEnd w:id="26"/>
    </w:p>
    <w:p w14:paraId="443425D4" w14:textId="1216BFA8" w:rsidR="004E4BBE" w:rsidRPr="00A5344E" w:rsidRDefault="004E4BBE" w:rsidP="004E4BBE">
      <w:pPr>
        <w:rPr>
          <w:rFonts w:asciiTheme="majorHAnsi" w:hAnsiTheme="majorHAnsi" w:cstheme="majorHAnsi"/>
        </w:rPr>
      </w:pPr>
      <w:r w:rsidRPr="00A5344E">
        <w:rPr>
          <w:rFonts w:asciiTheme="majorHAnsi" w:hAnsiTheme="majorHAnsi" w:cstheme="majorHAnsi"/>
        </w:rPr>
        <w:t>Die in</w:t>
      </w:r>
      <w:r w:rsidR="00D21982" w:rsidRPr="00A5344E">
        <w:rPr>
          <w:rFonts w:asciiTheme="majorHAnsi" w:hAnsiTheme="majorHAnsi" w:cstheme="majorHAnsi"/>
        </w:rPr>
        <w:t xml:space="preserve"> Abschnitt</w:t>
      </w:r>
      <w:r w:rsidRPr="00A5344E">
        <w:rPr>
          <w:rFonts w:asciiTheme="majorHAnsi" w:hAnsiTheme="majorHAnsi" w:cstheme="majorHAnsi"/>
        </w:rPr>
        <w:t xml:space="preserve"> </w:t>
      </w:r>
      <w:r w:rsidR="006811A3">
        <w:rPr>
          <w:rFonts w:asciiTheme="majorHAnsi" w:hAnsiTheme="majorHAnsi" w:cstheme="majorHAnsi"/>
        </w:rPr>
        <w:t>3</w:t>
      </w:r>
      <w:r w:rsidR="00D21982" w:rsidRPr="00A5344E">
        <w:rPr>
          <w:rFonts w:asciiTheme="majorHAnsi" w:hAnsiTheme="majorHAnsi" w:cstheme="majorHAnsi"/>
        </w:rPr>
        <w:t xml:space="preserve"> </w:t>
      </w:r>
      <w:r w:rsidRPr="00A5344E">
        <w:rPr>
          <w:rFonts w:asciiTheme="majorHAnsi" w:hAnsiTheme="majorHAnsi" w:cstheme="majorHAnsi"/>
        </w:rPr>
        <w:t xml:space="preserve">beschriebenen Aufgabenbereiche </w:t>
      </w:r>
      <w:r w:rsidRPr="00F978FE">
        <w:rPr>
          <w:rFonts w:asciiTheme="majorHAnsi" w:hAnsiTheme="majorHAnsi" w:cstheme="majorHAnsi"/>
        </w:rPr>
        <w:t xml:space="preserve">Lehrergehälter, </w:t>
      </w:r>
      <w:r w:rsidR="001944E1" w:rsidRPr="00F978FE">
        <w:rPr>
          <w:rFonts w:asciiTheme="majorHAnsi" w:hAnsiTheme="majorHAnsi" w:cstheme="majorHAnsi"/>
        </w:rPr>
        <w:t>Soziales</w:t>
      </w:r>
      <w:r w:rsidRPr="00F978FE">
        <w:rPr>
          <w:rFonts w:asciiTheme="majorHAnsi" w:hAnsiTheme="majorHAnsi" w:cstheme="majorHAnsi"/>
        </w:rPr>
        <w:t xml:space="preserve">, Sozialversicherungen </w:t>
      </w:r>
      <w:r w:rsidRPr="00A5344E">
        <w:rPr>
          <w:rFonts w:asciiTheme="majorHAnsi" w:hAnsiTheme="majorHAnsi" w:cstheme="majorHAnsi"/>
        </w:rPr>
        <w:t xml:space="preserve">und öffentlicher Verkehr werden vom Kanton mitfinanziert. Die Beiträge des Kantons an diese vier Lastenausgleichssysteme sowie die Zahlungen der Gemeinden im Lastenausgleich «neue Aufgabenteilung» werden in </w:t>
      </w:r>
      <w:r w:rsidR="00D21982" w:rsidRPr="00A5344E">
        <w:rPr>
          <w:rFonts w:asciiTheme="majorHAnsi" w:hAnsiTheme="majorHAnsi" w:cstheme="majorHAnsi"/>
        </w:rPr>
        <w:fldChar w:fldCharType="begin"/>
      </w:r>
      <w:r w:rsidR="00D21982" w:rsidRPr="00A5344E">
        <w:rPr>
          <w:rFonts w:asciiTheme="majorHAnsi" w:hAnsiTheme="majorHAnsi" w:cstheme="majorHAnsi"/>
        </w:rPr>
        <w:instrText xml:space="preserve"> REF _Ref185250428 \h </w:instrText>
      </w:r>
      <w:r w:rsidR="00984F56" w:rsidRPr="00A5344E">
        <w:rPr>
          <w:rFonts w:asciiTheme="majorHAnsi" w:hAnsiTheme="majorHAnsi" w:cstheme="majorHAnsi"/>
        </w:rPr>
        <w:instrText xml:space="preserve"> \* MERGEFORMAT </w:instrText>
      </w:r>
      <w:r w:rsidR="00D21982" w:rsidRPr="00A5344E">
        <w:rPr>
          <w:rFonts w:asciiTheme="majorHAnsi" w:hAnsiTheme="majorHAnsi" w:cstheme="majorHAnsi"/>
        </w:rPr>
      </w:r>
      <w:r w:rsidR="00D21982" w:rsidRPr="00A5344E">
        <w:rPr>
          <w:rFonts w:asciiTheme="majorHAnsi" w:hAnsiTheme="majorHAnsi" w:cstheme="majorHAnsi"/>
        </w:rPr>
        <w:fldChar w:fldCharType="separate"/>
      </w:r>
      <w:r w:rsidR="00A513C6" w:rsidRPr="00A5344E">
        <w:rPr>
          <w:rFonts w:asciiTheme="majorHAnsi" w:hAnsiTheme="majorHAnsi" w:cstheme="majorHAnsi"/>
        </w:rPr>
        <w:t>Abbildung 5</w:t>
      </w:r>
      <w:r w:rsidR="00D21982" w:rsidRPr="00A5344E">
        <w:rPr>
          <w:rFonts w:asciiTheme="majorHAnsi" w:hAnsiTheme="majorHAnsi" w:cstheme="majorHAnsi"/>
        </w:rPr>
        <w:fldChar w:fldCharType="end"/>
      </w:r>
      <w:r w:rsidR="00D21982" w:rsidRPr="00A5344E">
        <w:rPr>
          <w:rFonts w:asciiTheme="majorHAnsi" w:hAnsiTheme="majorHAnsi" w:cstheme="majorHAnsi"/>
        </w:rPr>
        <w:t xml:space="preserve"> </w:t>
      </w:r>
      <w:r w:rsidRPr="00A5344E">
        <w:rPr>
          <w:rFonts w:asciiTheme="majorHAnsi" w:hAnsiTheme="majorHAnsi" w:cstheme="majorHAnsi"/>
        </w:rPr>
        <w:t>dargestellt:</w:t>
      </w:r>
    </w:p>
    <w:p w14:paraId="49F5BD60" w14:textId="08C49272" w:rsidR="004E4BBE" w:rsidRPr="00A5344E" w:rsidRDefault="004E4BBE" w:rsidP="004E4BBE">
      <w:pPr>
        <w:pStyle w:val="Beschriftung"/>
        <w:keepNext/>
        <w:rPr>
          <w:rFonts w:asciiTheme="majorHAnsi" w:hAnsiTheme="majorHAnsi" w:cstheme="majorHAnsi"/>
          <w:b/>
          <w:bCs w:val="0"/>
        </w:rPr>
      </w:pPr>
      <w:bookmarkStart w:id="27" w:name="_Ref185250428"/>
      <w:r w:rsidRPr="00A5344E">
        <w:rPr>
          <w:rFonts w:asciiTheme="majorHAnsi" w:hAnsiTheme="majorHAnsi" w:cstheme="majorHAnsi"/>
          <w:b/>
          <w:bCs w:val="0"/>
        </w:rPr>
        <w:lastRenderedPageBreak/>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5</w:t>
      </w:r>
      <w:r w:rsidR="007732EE" w:rsidRPr="00A5344E">
        <w:rPr>
          <w:rFonts w:asciiTheme="majorHAnsi" w:hAnsiTheme="majorHAnsi" w:cstheme="majorHAnsi"/>
          <w:b/>
          <w:bCs w:val="0"/>
        </w:rPr>
        <w:fldChar w:fldCharType="end"/>
      </w:r>
      <w:bookmarkEnd w:id="27"/>
      <w:r w:rsidRPr="00A5344E">
        <w:rPr>
          <w:rFonts w:asciiTheme="majorHAnsi" w:hAnsiTheme="majorHAnsi" w:cstheme="majorHAnsi"/>
          <w:b/>
          <w:bCs w:val="0"/>
        </w:rPr>
        <w:t>:</w:t>
      </w:r>
      <w:r w:rsidRPr="00A5344E">
        <w:rPr>
          <w:rFonts w:asciiTheme="majorHAnsi" w:hAnsiTheme="majorHAnsi" w:cstheme="majorHAnsi"/>
          <w:b/>
          <w:bCs w:val="0"/>
        </w:rPr>
        <w:tab/>
        <w:t>Entwicklung der Lastenausgleichsystem von 2020</w:t>
      </w:r>
      <w:r w:rsidR="00F0041B">
        <w:rPr>
          <w:rFonts w:asciiTheme="majorHAnsi" w:hAnsiTheme="majorHAnsi" w:cstheme="majorHAnsi"/>
          <w:b/>
          <w:bCs w:val="0"/>
        </w:rPr>
        <w:t>–</w:t>
      </w:r>
      <w:r w:rsidRPr="00A5344E">
        <w:rPr>
          <w:rFonts w:asciiTheme="majorHAnsi" w:hAnsiTheme="majorHAnsi" w:cstheme="majorHAnsi"/>
          <w:b/>
          <w:bCs w:val="0"/>
        </w:rPr>
        <w:t>2024 – Anteil Kanton (in CHF)</w:t>
      </w:r>
    </w:p>
    <w:tbl>
      <w:tblPr>
        <w:tblStyle w:val="Ecoplankombi"/>
        <w:tblW w:w="5000" w:type="pct"/>
        <w:tblLook w:val="04A0" w:firstRow="1" w:lastRow="0" w:firstColumn="1" w:lastColumn="0" w:noHBand="0" w:noVBand="1"/>
      </w:tblPr>
      <w:tblGrid>
        <w:gridCol w:w="2465"/>
        <w:gridCol w:w="1502"/>
        <w:gridCol w:w="1502"/>
        <w:gridCol w:w="1502"/>
        <w:gridCol w:w="1504"/>
        <w:gridCol w:w="1503"/>
      </w:tblGrid>
      <w:tr w:rsidR="004E4BBE" w:rsidRPr="00A5344E" w14:paraId="0B75B405"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234" w:type="pct"/>
            <w:noWrap/>
            <w:hideMark/>
          </w:tcPr>
          <w:p w14:paraId="736ED8E6" w14:textId="77777777" w:rsidR="004E4BBE" w:rsidRPr="00A5344E" w:rsidRDefault="004E4BBE" w:rsidP="004E4BBE">
            <w:pPr>
              <w:pStyle w:val="Tabellentext"/>
              <w:rPr>
                <w:rFonts w:asciiTheme="majorHAnsi" w:hAnsiTheme="majorHAnsi" w:cstheme="majorHAnsi"/>
                <w:lang w:eastAsia="de-CH"/>
              </w:rPr>
            </w:pPr>
            <w:r w:rsidRPr="00A5344E">
              <w:rPr>
                <w:rFonts w:asciiTheme="majorHAnsi" w:hAnsiTheme="majorHAnsi" w:cstheme="majorHAnsi"/>
                <w:lang w:eastAsia="de-CH"/>
              </w:rPr>
              <w:t> </w:t>
            </w:r>
          </w:p>
        </w:tc>
        <w:tc>
          <w:tcPr>
            <w:tcW w:w="753" w:type="pct"/>
            <w:noWrap/>
            <w:hideMark/>
          </w:tcPr>
          <w:p w14:paraId="7E83E543"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2020</w:t>
            </w:r>
          </w:p>
        </w:tc>
        <w:tc>
          <w:tcPr>
            <w:tcW w:w="753" w:type="pct"/>
            <w:noWrap/>
            <w:hideMark/>
          </w:tcPr>
          <w:p w14:paraId="24FF4955"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2021</w:t>
            </w:r>
          </w:p>
        </w:tc>
        <w:tc>
          <w:tcPr>
            <w:tcW w:w="753" w:type="pct"/>
            <w:noWrap/>
            <w:hideMark/>
          </w:tcPr>
          <w:p w14:paraId="70ACFD72"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2022</w:t>
            </w:r>
          </w:p>
        </w:tc>
        <w:tc>
          <w:tcPr>
            <w:tcW w:w="754" w:type="pct"/>
            <w:noWrap/>
            <w:hideMark/>
          </w:tcPr>
          <w:p w14:paraId="3783E7C4"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2023</w:t>
            </w:r>
          </w:p>
        </w:tc>
        <w:tc>
          <w:tcPr>
            <w:tcW w:w="753" w:type="pct"/>
            <w:noWrap/>
            <w:hideMark/>
          </w:tcPr>
          <w:p w14:paraId="5A5F0CAA"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lang w:eastAsia="de-CH"/>
              </w:rPr>
              <w:t>2024</w:t>
            </w:r>
          </w:p>
        </w:tc>
      </w:tr>
      <w:tr w:rsidR="004E4BBE" w:rsidRPr="00A5344E" w14:paraId="35E7864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34" w:type="pct"/>
            <w:noWrap/>
            <w:hideMark/>
          </w:tcPr>
          <w:p w14:paraId="3D87EAA0"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Lehrergehälter</w:t>
            </w:r>
          </w:p>
        </w:tc>
        <w:tc>
          <w:tcPr>
            <w:tcW w:w="753" w:type="pct"/>
            <w:noWrap/>
            <w:hideMark/>
          </w:tcPr>
          <w:p w14:paraId="2240C88E"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899’170’036</w:t>
            </w:r>
          </w:p>
        </w:tc>
        <w:tc>
          <w:tcPr>
            <w:tcW w:w="753" w:type="pct"/>
            <w:noWrap/>
            <w:hideMark/>
          </w:tcPr>
          <w:p w14:paraId="2A5AAD8E"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932’212’638</w:t>
            </w:r>
          </w:p>
        </w:tc>
        <w:tc>
          <w:tcPr>
            <w:tcW w:w="753" w:type="pct"/>
            <w:noWrap/>
            <w:hideMark/>
          </w:tcPr>
          <w:p w14:paraId="73C0DC6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960’054’823</w:t>
            </w:r>
          </w:p>
        </w:tc>
        <w:tc>
          <w:tcPr>
            <w:tcW w:w="754" w:type="pct"/>
            <w:noWrap/>
            <w:hideMark/>
          </w:tcPr>
          <w:p w14:paraId="48D34D2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996’987’040</w:t>
            </w:r>
          </w:p>
        </w:tc>
        <w:tc>
          <w:tcPr>
            <w:tcW w:w="753" w:type="pct"/>
            <w:noWrap/>
            <w:hideMark/>
          </w:tcPr>
          <w:p w14:paraId="6D42C75F"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1’031’341’827</w:t>
            </w:r>
          </w:p>
        </w:tc>
      </w:tr>
      <w:tr w:rsidR="004E4BBE" w:rsidRPr="00A5344E" w14:paraId="5125F2E1"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34" w:type="pct"/>
            <w:noWrap/>
            <w:hideMark/>
          </w:tcPr>
          <w:p w14:paraId="0E17AB9D" w14:textId="7F8FF514"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 xml:space="preserve">LA </w:t>
            </w:r>
            <w:r w:rsidR="001944E1">
              <w:rPr>
                <w:rFonts w:asciiTheme="majorHAnsi" w:hAnsiTheme="majorHAnsi" w:cstheme="majorHAnsi"/>
                <w:b/>
                <w:bCs/>
                <w:lang w:eastAsia="de-CH"/>
              </w:rPr>
              <w:t>Soziales</w:t>
            </w:r>
            <w:r w:rsidR="00F978FE">
              <w:rPr>
                <w:rFonts w:asciiTheme="majorHAnsi" w:hAnsiTheme="majorHAnsi" w:cstheme="majorHAnsi"/>
                <w:b/>
                <w:bCs/>
                <w:lang w:eastAsia="de-CH"/>
              </w:rPr>
              <w:t>/Sozialhilfe</w:t>
            </w:r>
          </w:p>
        </w:tc>
        <w:tc>
          <w:tcPr>
            <w:tcW w:w="753" w:type="pct"/>
            <w:noWrap/>
            <w:hideMark/>
          </w:tcPr>
          <w:p w14:paraId="3D1F5AA3"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529’661’157</w:t>
            </w:r>
          </w:p>
        </w:tc>
        <w:tc>
          <w:tcPr>
            <w:tcW w:w="753" w:type="pct"/>
            <w:noWrap/>
            <w:hideMark/>
          </w:tcPr>
          <w:p w14:paraId="76E4E652"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531’214’852</w:t>
            </w:r>
          </w:p>
        </w:tc>
        <w:tc>
          <w:tcPr>
            <w:tcW w:w="753" w:type="pct"/>
            <w:noWrap/>
            <w:hideMark/>
          </w:tcPr>
          <w:p w14:paraId="4664C017"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563’829’475</w:t>
            </w:r>
          </w:p>
        </w:tc>
        <w:tc>
          <w:tcPr>
            <w:tcW w:w="754" w:type="pct"/>
            <w:noWrap/>
            <w:hideMark/>
          </w:tcPr>
          <w:p w14:paraId="222A0634"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541’350’617</w:t>
            </w:r>
          </w:p>
        </w:tc>
        <w:tc>
          <w:tcPr>
            <w:tcW w:w="753" w:type="pct"/>
            <w:noWrap/>
            <w:hideMark/>
          </w:tcPr>
          <w:p w14:paraId="413CB62F"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587’512’589</w:t>
            </w:r>
          </w:p>
        </w:tc>
      </w:tr>
      <w:tr w:rsidR="004E4BBE" w:rsidRPr="00A5344E" w14:paraId="6CDA130E"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34" w:type="pct"/>
            <w:noWrap/>
            <w:hideMark/>
          </w:tcPr>
          <w:p w14:paraId="37E3785B"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Sozialversicherungen</w:t>
            </w:r>
          </w:p>
        </w:tc>
        <w:tc>
          <w:tcPr>
            <w:tcW w:w="753" w:type="pct"/>
            <w:noWrap/>
            <w:hideMark/>
          </w:tcPr>
          <w:p w14:paraId="2C8D1400"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239’428’922</w:t>
            </w:r>
          </w:p>
        </w:tc>
        <w:tc>
          <w:tcPr>
            <w:tcW w:w="753" w:type="pct"/>
            <w:noWrap/>
            <w:hideMark/>
          </w:tcPr>
          <w:p w14:paraId="3B450EC7"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249’126’788</w:t>
            </w:r>
          </w:p>
        </w:tc>
        <w:tc>
          <w:tcPr>
            <w:tcW w:w="753" w:type="pct"/>
            <w:noWrap/>
            <w:hideMark/>
          </w:tcPr>
          <w:p w14:paraId="6354CCC5"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246’749’623</w:t>
            </w:r>
          </w:p>
        </w:tc>
        <w:tc>
          <w:tcPr>
            <w:tcW w:w="754" w:type="pct"/>
            <w:noWrap/>
            <w:hideMark/>
          </w:tcPr>
          <w:p w14:paraId="474091A9"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242’820’066</w:t>
            </w:r>
          </w:p>
        </w:tc>
        <w:tc>
          <w:tcPr>
            <w:tcW w:w="753" w:type="pct"/>
            <w:noWrap/>
            <w:hideMark/>
          </w:tcPr>
          <w:p w14:paraId="1320D00C"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248’500’006</w:t>
            </w:r>
          </w:p>
        </w:tc>
      </w:tr>
      <w:tr w:rsidR="004E4BBE" w:rsidRPr="00A5344E" w14:paraId="16053C74"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34" w:type="pct"/>
            <w:noWrap/>
            <w:hideMark/>
          </w:tcPr>
          <w:p w14:paraId="0519F0DB"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öffentlicher Verkehr</w:t>
            </w:r>
          </w:p>
        </w:tc>
        <w:tc>
          <w:tcPr>
            <w:tcW w:w="753" w:type="pct"/>
            <w:noWrap/>
            <w:hideMark/>
          </w:tcPr>
          <w:p w14:paraId="4F39C345"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253’078’274</w:t>
            </w:r>
          </w:p>
        </w:tc>
        <w:tc>
          <w:tcPr>
            <w:tcW w:w="753" w:type="pct"/>
            <w:noWrap/>
            <w:hideMark/>
          </w:tcPr>
          <w:p w14:paraId="7605135E"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280’478’378</w:t>
            </w:r>
          </w:p>
        </w:tc>
        <w:tc>
          <w:tcPr>
            <w:tcW w:w="753" w:type="pct"/>
            <w:noWrap/>
            <w:hideMark/>
          </w:tcPr>
          <w:p w14:paraId="3BC4ED2B"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268’651’212</w:t>
            </w:r>
          </w:p>
        </w:tc>
        <w:tc>
          <w:tcPr>
            <w:tcW w:w="754" w:type="pct"/>
            <w:noWrap/>
            <w:hideMark/>
          </w:tcPr>
          <w:p w14:paraId="0CCB536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301’731’110</w:t>
            </w:r>
          </w:p>
        </w:tc>
        <w:tc>
          <w:tcPr>
            <w:tcW w:w="753" w:type="pct"/>
            <w:noWrap/>
            <w:hideMark/>
          </w:tcPr>
          <w:p w14:paraId="6F4A7206"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301’008’788</w:t>
            </w:r>
          </w:p>
        </w:tc>
      </w:tr>
      <w:tr w:rsidR="004E4BBE" w:rsidRPr="00A5344E" w14:paraId="2BF9160E"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234" w:type="pct"/>
            <w:noWrap/>
            <w:hideMark/>
          </w:tcPr>
          <w:p w14:paraId="61ECF3BF"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LA "neue Aufgabenteilung"</w:t>
            </w:r>
          </w:p>
        </w:tc>
        <w:tc>
          <w:tcPr>
            <w:tcW w:w="753" w:type="pct"/>
            <w:noWrap/>
            <w:hideMark/>
          </w:tcPr>
          <w:p w14:paraId="5A4FDCC6"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-191’182’170</w:t>
            </w:r>
          </w:p>
        </w:tc>
        <w:tc>
          <w:tcPr>
            <w:tcW w:w="753" w:type="pct"/>
            <w:noWrap/>
            <w:hideMark/>
          </w:tcPr>
          <w:p w14:paraId="44D57178"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-189’210’000</w:t>
            </w:r>
          </w:p>
        </w:tc>
        <w:tc>
          <w:tcPr>
            <w:tcW w:w="753" w:type="pct"/>
            <w:noWrap/>
            <w:hideMark/>
          </w:tcPr>
          <w:p w14:paraId="4B6EE4C1"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-192’950’000</w:t>
            </w:r>
          </w:p>
        </w:tc>
        <w:tc>
          <w:tcPr>
            <w:tcW w:w="754" w:type="pct"/>
            <w:noWrap/>
            <w:hideMark/>
          </w:tcPr>
          <w:p w14:paraId="784AA9FC"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-193’000’000</w:t>
            </w:r>
          </w:p>
        </w:tc>
        <w:tc>
          <w:tcPr>
            <w:tcW w:w="753" w:type="pct"/>
            <w:noWrap/>
            <w:hideMark/>
          </w:tcPr>
          <w:p w14:paraId="63681BA3" w14:textId="77777777" w:rsidR="004E4BBE" w:rsidRPr="00A5344E" w:rsidRDefault="004E4BBE" w:rsidP="004E4BBE">
            <w:pPr>
              <w:pStyle w:val="Tabellentext"/>
              <w:jc w:val="right"/>
              <w:rPr>
                <w:rFonts w:asciiTheme="majorHAnsi" w:hAnsiTheme="majorHAnsi" w:cstheme="majorHAnsi"/>
                <w:lang w:eastAsia="de-CH"/>
              </w:rPr>
            </w:pPr>
            <w:r w:rsidRPr="00A5344E">
              <w:rPr>
                <w:rFonts w:asciiTheme="majorHAnsi" w:hAnsiTheme="majorHAnsi" w:cstheme="majorHAnsi"/>
              </w:rPr>
              <w:t>-193’010’000</w:t>
            </w:r>
          </w:p>
        </w:tc>
      </w:tr>
      <w:tr w:rsidR="004E4BBE" w:rsidRPr="00A5344E" w14:paraId="182D4E8F"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234" w:type="pct"/>
            <w:noWrap/>
            <w:hideMark/>
          </w:tcPr>
          <w:p w14:paraId="0DCFE8C3" w14:textId="77777777" w:rsidR="004E4BBE" w:rsidRPr="00A5344E" w:rsidRDefault="004E4BBE" w:rsidP="004E4BBE">
            <w:pPr>
              <w:pStyle w:val="Tabellentext"/>
              <w:rPr>
                <w:rFonts w:asciiTheme="majorHAnsi" w:hAnsiTheme="majorHAnsi" w:cstheme="majorHAnsi"/>
                <w:b/>
                <w:bCs/>
                <w:lang w:eastAsia="de-CH"/>
              </w:rPr>
            </w:pPr>
            <w:r w:rsidRPr="00A5344E">
              <w:rPr>
                <w:rFonts w:asciiTheme="majorHAnsi" w:hAnsiTheme="majorHAnsi" w:cstheme="majorHAnsi"/>
                <w:b/>
                <w:bCs/>
                <w:lang w:eastAsia="de-CH"/>
              </w:rPr>
              <w:t>Total Belastung Kanton</w:t>
            </w:r>
          </w:p>
        </w:tc>
        <w:tc>
          <w:tcPr>
            <w:tcW w:w="753" w:type="pct"/>
            <w:noWrap/>
            <w:hideMark/>
          </w:tcPr>
          <w:p w14:paraId="7C2133DD"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1’730’156’219</w:t>
            </w:r>
          </w:p>
        </w:tc>
        <w:tc>
          <w:tcPr>
            <w:tcW w:w="753" w:type="pct"/>
            <w:noWrap/>
            <w:hideMark/>
          </w:tcPr>
          <w:p w14:paraId="20CF99E0"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1’803’822’656</w:t>
            </w:r>
          </w:p>
        </w:tc>
        <w:tc>
          <w:tcPr>
            <w:tcW w:w="753" w:type="pct"/>
            <w:noWrap/>
            <w:hideMark/>
          </w:tcPr>
          <w:p w14:paraId="574EF220"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1’846’335’133</w:t>
            </w:r>
          </w:p>
        </w:tc>
        <w:tc>
          <w:tcPr>
            <w:tcW w:w="754" w:type="pct"/>
            <w:noWrap/>
            <w:hideMark/>
          </w:tcPr>
          <w:p w14:paraId="0AABA7F8"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1’889’888’833</w:t>
            </w:r>
          </w:p>
        </w:tc>
        <w:tc>
          <w:tcPr>
            <w:tcW w:w="753" w:type="pct"/>
            <w:noWrap/>
            <w:hideMark/>
          </w:tcPr>
          <w:p w14:paraId="76578F9C" w14:textId="77777777" w:rsidR="004E4BBE" w:rsidRPr="00A5344E" w:rsidRDefault="004E4BBE" w:rsidP="004E4BBE">
            <w:pPr>
              <w:pStyle w:val="Tabellentext"/>
              <w:jc w:val="right"/>
              <w:rPr>
                <w:rFonts w:asciiTheme="majorHAnsi" w:hAnsiTheme="majorHAnsi" w:cstheme="majorHAnsi"/>
                <w:b/>
                <w:bCs/>
                <w:lang w:eastAsia="de-CH"/>
              </w:rPr>
            </w:pPr>
            <w:r w:rsidRPr="00A5344E">
              <w:rPr>
                <w:rFonts w:asciiTheme="majorHAnsi" w:hAnsiTheme="majorHAnsi" w:cstheme="majorHAnsi"/>
                <w:b/>
                <w:bCs/>
              </w:rPr>
              <w:t>1’975’353’210</w:t>
            </w:r>
          </w:p>
        </w:tc>
      </w:tr>
    </w:tbl>
    <w:p w14:paraId="1D2B733B" w14:textId="77777777" w:rsidR="004E4BBE" w:rsidRPr="00A5344E" w:rsidRDefault="004E4BBE" w:rsidP="004E4BBE">
      <w:pPr>
        <w:pStyle w:val="Textkrper"/>
        <w:keepNext/>
        <w:rPr>
          <w:rFonts w:asciiTheme="majorHAnsi" w:hAnsiTheme="majorHAnsi" w:cstheme="majorHAnsi"/>
        </w:rPr>
      </w:pPr>
      <w:r w:rsidRPr="00A5344E">
        <w:rPr>
          <w:rFonts w:asciiTheme="majorHAnsi" w:hAnsiTheme="majorHAnsi" w:cstheme="majorHAnsi"/>
          <w:noProof/>
        </w:rPr>
        <w:drawing>
          <wp:inline distT="0" distB="0" distL="0" distR="0" wp14:anchorId="700CA093" wp14:editId="2F792D60">
            <wp:extent cx="5255895" cy="2636520"/>
            <wp:effectExtent l="0" t="0" r="1905" b="0"/>
            <wp:docPr id="128703107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5895" cy="2636520"/>
                    </a:xfrm>
                    <a:prstGeom prst="rect">
                      <a:avLst/>
                    </a:prstGeom>
                    <a:noFill/>
                    <a:ln>
                      <a:noFill/>
                    </a:ln>
                  </pic:spPr>
                </pic:pic>
              </a:graphicData>
            </a:graphic>
          </wp:inline>
        </w:drawing>
      </w:r>
    </w:p>
    <w:p w14:paraId="59DACAF4" w14:textId="77777777" w:rsidR="004E4BBE" w:rsidRPr="00A5344E" w:rsidRDefault="004E4BBE" w:rsidP="004E4BBE">
      <w:pPr>
        <w:rPr>
          <w:rFonts w:asciiTheme="majorHAnsi" w:hAnsiTheme="majorHAnsi" w:cstheme="majorHAnsi"/>
        </w:rPr>
      </w:pPr>
    </w:p>
    <w:p w14:paraId="1077996C" w14:textId="30DE5AC4" w:rsidR="00256F04" w:rsidRPr="00A5344E" w:rsidRDefault="004E4BBE" w:rsidP="00AE3A74">
      <w:pPr>
        <w:rPr>
          <w:rFonts w:asciiTheme="majorHAnsi" w:hAnsiTheme="majorHAnsi" w:cstheme="majorHAnsi"/>
        </w:rPr>
      </w:pPr>
      <w:r w:rsidRPr="00A5344E">
        <w:rPr>
          <w:rFonts w:asciiTheme="majorHAnsi" w:hAnsiTheme="majorHAnsi" w:cstheme="majorHAnsi"/>
        </w:rPr>
        <w:t>Der Trend zeigt insgesamt weiterhin eine Kostenzunahme. Diese Entwicklung steht auch im Zusammenhang mit dem stetigen Bevölkerungswachstum im Kanton</w:t>
      </w:r>
      <w:r w:rsidR="00F0041B">
        <w:rPr>
          <w:rFonts w:asciiTheme="majorHAnsi" w:hAnsiTheme="majorHAnsi" w:cstheme="majorHAnsi"/>
        </w:rPr>
        <w:t xml:space="preserve"> Bern</w:t>
      </w:r>
      <w:r w:rsidRPr="00A5344E">
        <w:rPr>
          <w:rFonts w:asciiTheme="majorHAnsi" w:hAnsiTheme="majorHAnsi" w:cstheme="majorHAnsi"/>
        </w:rPr>
        <w:t xml:space="preserve"> (Anfang 2020 bis Ende 2023 +2,0 </w:t>
      </w:r>
      <w:r w:rsidR="00F0041B">
        <w:rPr>
          <w:rFonts w:asciiTheme="majorHAnsi" w:hAnsiTheme="majorHAnsi" w:cstheme="majorHAnsi"/>
        </w:rPr>
        <w:t>%</w:t>
      </w:r>
      <w:r w:rsidRPr="00A5344E">
        <w:rPr>
          <w:rFonts w:asciiTheme="majorHAnsi" w:hAnsiTheme="majorHAnsi" w:cstheme="majorHAnsi"/>
        </w:rPr>
        <w:t>). Die Entlastung im Lastenausgleich «neue Aufgabenteilung» im Jahr 2021 von CHF 189,2 Millionen ist rechnerischer Natur, da der Kanton von den Gemeinden Lasten im selben Umfang übernommen hat.</w:t>
      </w:r>
    </w:p>
    <w:p w14:paraId="5BF42B26" w14:textId="18070F56" w:rsidR="00256F04" w:rsidRPr="00A5344E" w:rsidRDefault="00256F04" w:rsidP="00256F04">
      <w:pPr>
        <w:pStyle w:val="berschrift2nummeriert"/>
        <w:rPr>
          <w:rFonts w:cstheme="majorHAnsi"/>
        </w:rPr>
      </w:pPr>
      <w:bookmarkStart w:id="28" w:name="_Toc191888244"/>
      <w:r w:rsidRPr="00A5344E">
        <w:rPr>
          <w:rFonts w:cstheme="majorHAnsi"/>
        </w:rPr>
        <w:t>Entwicklung «Globalbilanz» 2020</w:t>
      </w:r>
      <w:r w:rsidR="00F0041B">
        <w:rPr>
          <w:rFonts w:cstheme="majorHAnsi"/>
        </w:rPr>
        <w:t>–</w:t>
      </w:r>
      <w:r w:rsidRPr="00A5344E">
        <w:rPr>
          <w:rFonts w:cstheme="majorHAnsi"/>
        </w:rPr>
        <w:t>2024</w:t>
      </w:r>
      <w:bookmarkEnd w:id="28"/>
    </w:p>
    <w:p w14:paraId="6A19B12E" w14:textId="207FCC18" w:rsidR="004E4BBE" w:rsidRPr="00A5344E" w:rsidRDefault="00F0041B" w:rsidP="00AE3A74">
      <w:pPr>
        <w:rPr>
          <w:rFonts w:asciiTheme="majorHAnsi" w:hAnsiTheme="majorHAnsi" w:cstheme="majorHAnsi"/>
        </w:rPr>
      </w:pPr>
      <w:r>
        <w:rPr>
          <w:rFonts w:asciiTheme="majorHAnsi" w:hAnsiTheme="majorHAnsi" w:cstheme="majorHAnsi"/>
        </w:rPr>
        <w:t>Die</w:t>
      </w:r>
      <w:r w:rsidR="00256F04" w:rsidRPr="00A5344E">
        <w:rPr>
          <w:rFonts w:asciiTheme="majorHAnsi" w:hAnsiTheme="majorHAnsi" w:cstheme="majorHAnsi"/>
        </w:rPr>
        <w:t xml:space="preserve"> Entwicklung der Finanzströme im Zeitraum 2020 bis 2024 (vgl. </w:t>
      </w:r>
      <w:r w:rsidR="009C2190" w:rsidRPr="00A5344E">
        <w:rPr>
          <w:rFonts w:asciiTheme="majorHAnsi" w:hAnsiTheme="majorHAnsi" w:cstheme="majorHAnsi"/>
        </w:rPr>
        <w:fldChar w:fldCharType="begin"/>
      </w:r>
      <w:r w:rsidR="009C2190" w:rsidRPr="00A5344E">
        <w:rPr>
          <w:rFonts w:asciiTheme="majorHAnsi" w:hAnsiTheme="majorHAnsi" w:cstheme="majorHAnsi"/>
        </w:rPr>
        <w:instrText xml:space="preserve"> REF _Ref185251230 \h </w:instrText>
      </w:r>
      <w:r w:rsidR="00ED0A6F" w:rsidRPr="00A5344E">
        <w:rPr>
          <w:rFonts w:asciiTheme="majorHAnsi" w:hAnsiTheme="majorHAnsi" w:cstheme="majorHAnsi"/>
        </w:rPr>
        <w:instrText xml:space="preserve"> \* MERGEFORMAT </w:instrText>
      </w:r>
      <w:r w:rsidR="009C2190" w:rsidRPr="00A5344E">
        <w:rPr>
          <w:rFonts w:asciiTheme="majorHAnsi" w:hAnsiTheme="majorHAnsi" w:cstheme="majorHAnsi"/>
        </w:rPr>
      </w:r>
      <w:r w:rsidR="009C2190" w:rsidRPr="00A5344E">
        <w:rPr>
          <w:rFonts w:asciiTheme="majorHAnsi" w:hAnsiTheme="majorHAnsi" w:cstheme="majorHAnsi"/>
        </w:rPr>
        <w:fldChar w:fldCharType="separate"/>
      </w:r>
      <w:r w:rsidR="00A513C6" w:rsidRPr="00A5344E">
        <w:rPr>
          <w:rFonts w:asciiTheme="majorHAnsi" w:hAnsiTheme="majorHAnsi" w:cstheme="majorHAnsi"/>
        </w:rPr>
        <w:t>Abbildung 6</w:t>
      </w:r>
      <w:r w:rsidR="009C2190" w:rsidRPr="00A5344E">
        <w:rPr>
          <w:rFonts w:asciiTheme="majorHAnsi" w:hAnsiTheme="majorHAnsi" w:cstheme="majorHAnsi"/>
        </w:rPr>
        <w:fldChar w:fldCharType="end"/>
      </w:r>
      <w:r w:rsidR="00256F04" w:rsidRPr="00A5344E">
        <w:rPr>
          <w:rFonts w:asciiTheme="majorHAnsi" w:hAnsiTheme="majorHAnsi" w:cstheme="majorHAnsi"/>
        </w:rPr>
        <w:t>)</w:t>
      </w:r>
      <w:r>
        <w:rPr>
          <w:rFonts w:asciiTheme="majorHAnsi" w:hAnsiTheme="majorHAnsi" w:cstheme="majorHAnsi"/>
        </w:rPr>
        <w:t xml:space="preserve"> zeigt</w:t>
      </w:r>
      <w:r w:rsidR="00256F04" w:rsidRPr="00A5344E">
        <w:rPr>
          <w:rFonts w:asciiTheme="majorHAnsi" w:hAnsiTheme="majorHAnsi" w:cstheme="majorHAnsi"/>
        </w:rPr>
        <w:t xml:space="preserve">, dass die Gemeinden im Jahr </w:t>
      </w:r>
      <w:r w:rsidR="009C2190" w:rsidRPr="00A5344E">
        <w:rPr>
          <w:rFonts w:asciiTheme="majorHAnsi" w:hAnsiTheme="majorHAnsi" w:cstheme="majorHAnsi"/>
        </w:rPr>
        <w:t>2024</w:t>
      </w:r>
      <w:r w:rsidR="00256F04" w:rsidRPr="00A5344E">
        <w:rPr>
          <w:rFonts w:asciiTheme="majorHAnsi" w:hAnsiTheme="majorHAnsi" w:cstheme="majorHAnsi"/>
        </w:rPr>
        <w:t xml:space="preserve"> gegenüber dem Jahr </w:t>
      </w:r>
      <w:r w:rsidR="009C2190" w:rsidRPr="00A5344E">
        <w:rPr>
          <w:rFonts w:asciiTheme="majorHAnsi" w:hAnsiTheme="majorHAnsi" w:cstheme="majorHAnsi"/>
        </w:rPr>
        <w:t>2020</w:t>
      </w:r>
      <w:r w:rsidR="00256F04" w:rsidRPr="00A5344E">
        <w:rPr>
          <w:rFonts w:asciiTheme="majorHAnsi" w:hAnsiTheme="majorHAnsi" w:cstheme="majorHAnsi"/>
        </w:rPr>
        <w:t xml:space="preserve"> mit insgesamt rund CHF </w:t>
      </w:r>
      <w:r w:rsidR="009C2190" w:rsidRPr="00A5344E">
        <w:rPr>
          <w:rFonts w:asciiTheme="majorHAnsi" w:hAnsiTheme="majorHAnsi" w:cstheme="majorHAnsi"/>
        </w:rPr>
        <w:t>146</w:t>
      </w:r>
      <w:r>
        <w:rPr>
          <w:rFonts w:asciiTheme="majorHAnsi" w:hAnsiTheme="majorHAnsi" w:cstheme="majorHAnsi"/>
        </w:rPr>
        <w:t>,</w:t>
      </w:r>
      <w:r w:rsidR="009C2190" w:rsidRPr="00A5344E">
        <w:rPr>
          <w:rFonts w:asciiTheme="majorHAnsi" w:hAnsiTheme="majorHAnsi" w:cstheme="majorHAnsi"/>
        </w:rPr>
        <w:t>7</w:t>
      </w:r>
      <w:r w:rsidR="00256F04" w:rsidRPr="00A5344E">
        <w:rPr>
          <w:rFonts w:asciiTheme="majorHAnsi" w:hAnsiTheme="majorHAnsi" w:cstheme="majorHAnsi"/>
        </w:rPr>
        <w:t xml:space="preserve"> Millionen mehr belastet wurden. Die Hauptgründe liegen, wie bereits ausgeführt, bei der Kostenentwicklung der Lastenausgleiche Lehrergehälter und Sozialversicherungen.</w:t>
      </w:r>
    </w:p>
    <w:p w14:paraId="7530E6CD" w14:textId="39C6B7F9" w:rsidR="004E4BBE" w:rsidRPr="00A5344E" w:rsidRDefault="004E4BBE" w:rsidP="004E4BBE">
      <w:pPr>
        <w:pStyle w:val="Beschriftung"/>
        <w:keepNext/>
        <w:rPr>
          <w:rFonts w:asciiTheme="majorHAnsi" w:hAnsiTheme="majorHAnsi" w:cstheme="majorHAnsi"/>
          <w:b/>
          <w:bCs w:val="0"/>
        </w:rPr>
      </w:pPr>
      <w:bookmarkStart w:id="29" w:name="_Ref185251230"/>
      <w:r w:rsidRPr="00A5344E">
        <w:rPr>
          <w:rFonts w:asciiTheme="majorHAnsi" w:hAnsiTheme="majorHAnsi" w:cstheme="majorHAnsi"/>
          <w:b/>
          <w:bCs w:val="0"/>
        </w:rPr>
        <w:lastRenderedPageBreak/>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6</w:t>
      </w:r>
      <w:r w:rsidR="007732EE" w:rsidRPr="00A5344E">
        <w:rPr>
          <w:rFonts w:asciiTheme="majorHAnsi" w:hAnsiTheme="majorHAnsi" w:cstheme="majorHAnsi"/>
          <w:b/>
          <w:bCs w:val="0"/>
        </w:rPr>
        <w:fldChar w:fldCharType="end"/>
      </w:r>
      <w:bookmarkEnd w:id="29"/>
      <w:r w:rsidRPr="00A5344E">
        <w:rPr>
          <w:rFonts w:asciiTheme="majorHAnsi" w:hAnsiTheme="majorHAnsi" w:cstheme="majorHAnsi"/>
          <w:b/>
          <w:bCs w:val="0"/>
        </w:rPr>
        <w:t>:</w:t>
      </w:r>
      <w:r w:rsidRPr="00A5344E">
        <w:rPr>
          <w:rFonts w:asciiTheme="majorHAnsi" w:hAnsiTheme="majorHAnsi" w:cstheme="majorHAnsi"/>
          <w:b/>
          <w:bCs w:val="0"/>
        </w:rPr>
        <w:tab/>
        <w:t>Entwicklung der Finanzströme 2020</w:t>
      </w:r>
      <w:r w:rsidR="004F6715">
        <w:rPr>
          <w:rFonts w:asciiTheme="majorHAnsi" w:hAnsiTheme="majorHAnsi" w:cstheme="majorHAnsi"/>
          <w:b/>
          <w:bCs w:val="0"/>
        </w:rPr>
        <w:softHyphen/>
      </w:r>
      <w:r w:rsidRPr="00A5344E">
        <w:rPr>
          <w:rFonts w:asciiTheme="majorHAnsi" w:hAnsiTheme="majorHAnsi" w:cstheme="majorHAnsi"/>
          <w:b/>
          <w:bCs w:val="0"/>
        </w:rPr>
        <w:t>2024 – Mehrbelastung 2020/2024</w:t>
      </w:r>
    </w:p>
    <w:tbl>
      <w:tblPr>
        <w:tblStyle w:val="Ecoplankombi"/>
        <w:tblW w:w="5000" w:type="pct"/>
        <w:tblLayout w:type="fixed"/>
        <w:tblLook w:val="04A0" w:firstRow="1" w:lastRow="0" w:firstColumn="1" w:lastColumn="0" w:noHBand="0" w:noVBand="1"/>
      </w:tblPr>
      <w:tblGrid>
        <w:gridCol w:w="2219"/>
        <w:gridCol w:w="854"/>
        <w:gridCol w:w="441"/>
        <w:gridCol w:w="1293"/>
        <w:gridCol w:w="1293"/>
        <w:gridCol w:w="1293"/>
        <w:gridCol w:w="639"/>
        <w:gridCol w:w="655"/>
        <w:gridCol w:w="1291"/>
      </w:tblGrid>
      <w:tr w:rsidR="004E4BBE" w:rsidRPr="00A5344E" w14:paraId="16EC715B" w14:textId="77777777" w:rsidTr="001441EF">
        <w:trPr>
          <w:cnfStyle w:val="100000000000" w:firstRow="1" w:lastRow="0" w:firstColumn="0" w:lastColumn="0" w:oddVBand="0" w:evenVBand="0" w:oddHBand="0" w:evenHBand="0" w:firstRowFirstColumn="0" w:firstRowLastColumn="0" w:lastRowFirstColumn="0" w:lastRowLastColumn="0"/>
          <w:trHeight w:val="330"/>
        </w:trPr>
        <w:tc>
          <w:tcPr>
            <w:tcW w:w="1112" w:type="pct"/>
            <w:noWrap/>
            <w:hideMark/>
          </w:tcPr>
          <w:p w14:paraId="70134DA4" w14:textId="77777777" w:rsidR="004E4BBE" w:rsidRPr="00A5344E" w:rsidRDefault="004E4BBE" w:rsidP="004E4BBE">
            <w:pPr>
              <w:keepNext/>
              <w:rPr>
                <w:rFonts w:asciiTheme="majorHAnsi" w:hAnsiTheme="majorHAnsi" w:cstheme="majorHAnsi"/>
                <w:sz w:val="16"/>
                <w:szCs w:val="16"/>
              </w:rPr>
            </w:pPr>
            <w:bookmarkStart w:id="30" w:name="_Hlk187904363"/>
          </w:p>
        </w:tc>
        <w:tc>
          <w:tcPr>
            <w:tcW w:w="649" w:type="pct"/>
            <w:gridSpan w:val="2"/>
            <w:noWrap/>
            <w:hideMark/>
          </w:tcPr>
          <w:p w14:paraId="2F96807E" w14:textId="77777777" w:rsidR="004E4BBE" w:rsidRPr="00A5344E" w:rsidRDefault="004E4BBE" w:rsidP="004E4BBE">
            <w:pPr>
              <w:keepNext/>
              <w:jc w:val="right"/>
              <w:rPr>
                <w:rFonts w:asciiTheme="majorHAnsi" w:hAnsiTheme="majorHAnsi" w:cstheme="majorHAnsi"/>
                <w:b/>
                <w:bCs w:val="0"/>
                <w:sz w:val="16"/>
                <w:szCs w:val="16"/>
              </w:rPr>
            </w:pPr>
            <w:r w:rsidRPr="00A5344E">
              <w:rPr>
                <w:rFonts w:asciiTheme="majorHAnsi" w:hAnsiTheme="majorHAnsi" w:cstheme="majorHAnsi"/>
                <w:b/>
                <w:sz w:val="16"/>
                <w:szCs w:val="16"/>
              </w:rPr>
              <w:t>2020</w:t>
            </w:r>
          </w:p>
        </w:tc>
        <w:tc>
          <w:tcPr>
            <w:tcW w:w="648" w:type="pct"/>
            <w:noWrap/>
            <w:hideMark/>
          </w:tcPr>
          <w:p w14:paraId="3BCC3B9D" w14:textId="77777777" w:rsidR="004E4BBE" w:rsidRPr="00A5344E" w:rsidRDefault="004E4BBE" w:rsidP="004E4BBE">
            <w:pPr>
              <w:keepNext/>
              <w:jc w:val="right"/>
              <w:rPr>
                <w:rFonts w:asciiTheme="majorHAnsi" w:hAnsiTheme="majorHAnsi" w:cstheme="majorHAnsi"/>
                <w:b/>
                <w:bCs w:val="0"/>
                <w:sz w:val="16"/>
                <w:szCs w:val="16"/>
              </w:rPr>
            </w:pPr>
            <w:r w:rsidRPr="00A5344E">
              <w:rPr>
                <w:rFonts w:asciiTheme="majorHAnsi" w:hAnsiTheme="majorHAnsi" w:cstheme="majorHAnsi"/>
                <w:b/>
                <w:sz w:val="16"/>
                <w:szCs w:val="16"/>
              </w:rPr>
              <w:t>2021</w:t>
            </w:r>
          </w:p>
        </w:tc>
        <w:tc>
          <w:tcPr>
            <w:tcW w:w="648" w:type="pct"/>
            <w:noWrap/>
            <w:hideMark/>
          </w:tcPr>
          <w:p w14:paraId="2517C7B5" w14:textId="77777777" w:rsidR="004E4BBE" w:rsidRPr="00A5344E" w:rsidRDefault="004E4BBE" w:rsidP="004E4BBE">
            <w:pPr>
              <w:keepNext/>
              <w:jc w:val="right"/>
              <w:rPr>
                <w:rFonts w:asciiTheme="majorHAnsi" w:hAnsiTheme="majorHAnsi" w:cstheme="majorHAnsi"/>
                <w:b/>
                <w:bCs w:val="0"/>
                <w:sz w:val="16"/>
                <w:szCs w:val="16"/>
              </w:rPr>
            </w:pPr>
            <w:r w:rsidRPr="00A5344E">
              <w:rPr>
                <w:rFonts w:asciiTheme="majorHAnsi" w:hAnsiTheme="majorHAnsi" w:cstheme="majorHAnsi"/>
                <w:b/>
                <w:sz w:val="16"/>
                <w:szCs w:val="16"/>
              </w:rPr>
              <w:t>2022</w:t>
            </w:r>
          </w:p>
        </w:tc>
        <w:tc>
          <w:tcPr>
            <w:tcW w:w="648" w:type="pct"/>
            <w:noWrap/>
            <w:hideMark/>
          </w:tcPr>
          <w:p w14:paraId="1C554425" w14:textId="77777777" w:rsidR="004E4BBE" w:rsidRPr="00A5344E" w:rsidRDefault="004E4BBE" w:rsidP="004E4BBE">
            <w:pPr>
              <w:keepNext/>
              <w:jc w:val="right"/>
              <w:rPr>
                <w:rFonts w:asciiTheme="majorHAnsi" w:hAnsiTheme="majorHAnsi" w:cstheme="majorHAnsi"/>
                <w:b/>
                <w:bCs w:val="0"/>
                <w:sz w:val="16"/>
                <w:szCs w:val="16"/>
              </w:rPr>
            </w:pPr>
            <w:r w:rsidRPr="00A5344E">
              <w:rPr>
                <w:rFonts w:asciiTheme="majorHAnsi" w:hAnsiTheme="majorHAnsi" w:cstheme="majorHAnsi"/>
                <w:b/>
                <w:sz w:val="16"/>
                <w:szCs w:val="16"/>
              </w:rPr>
              <w:t>2023</w:t>
            </w:r>
          </w:p>
        </w:tc>
        <w:tc>
          <w:tcPr>
            <w:tcW w:w="648" w:type="pct"/>
            <w:gridSpan w:val="2"/>
            <w:noWrap/>
            <w:hideMark/>
          </w:tcPr>
          <w:p w14:paraId="0E240DAB" w14:textId="77777777" w:rsidR="004E4BBE" w:rsidRPr="00A5344E" w:rsidRDefault="004E4BBE" w:rsidP="004E4BBE">
            <w:pPr>
              <w:keepNext/>
              <w:jc w:val="right"/>
              <w:rPr>
                <w:rFonts w:asciiTheme="majorHAnsi" w:hAnsiTheme="majorHAnsi" w:cstheme="majorHAnsi"/>
                <w:b/>
                <w:bCs w:val="0"/>
                <w:sz w:val="16"/>
                <w:szCs w:val="16"/>
              </w:rPr>
            </w:pPr>
            <w:r w:rsidRPr="00A5344E">
              <w:rPr>
                <w:rFonts w:asciiTheme="majorHAnsi" w:hAnsiTheme="majorHAnsi" w:cstheme="majorHAnsi"/>
                <w:b/>
                <w:sz w:val="16"/>
                <w:szCs w:val="16"/>
              </w:rPr>
              <w:t>2024</w:t>
            </w:r>
          </w:p>
        </w:tc>
        <w:tc>
          <w:tcPr>
            <w:tcW w:w="647" w:type="pct"/>
            <w:noWrap/>
            <w:hideMark/>
          </w:tcPr>
          <w:p w14:paraId="182D24E0"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i/>
                <w:iCs/>
                <w:color w:val="000000"/>
                <w:sz w:val="16"/>
                <w:szCs w:val="16"/>
              </w:rPr>
              <w:t>Veränderung 2020/2024</w:t>
            </w:r>
          </w:p>
        </w:tc>
      </w:tr>
      <w:tr w:rsidR="004E4BBE" w:rsidRPr="00A5344E" w14:paraId="2C1A1D6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shd w:val="clear" w:color="auto" w:fill="A8BBC5" w:themeFill="accent1" w:themeFillTint="66"/>
            <w:noWrap/>
            <w:hideMark/>
          </w:tcPr>
          <w:p w14:paraId="07C56A95" w14:textId="77777777" w:rsidR="004E4BBE" w:rsidRPr="00A5344E" w:rsidRDefault="004E4BBE" w:rsidP="004E4BBE">
            <w:pPr>
              <w:keepNext/>
              <w:jc w:val="both"/>
              <w:rPr>
                <w:rFonts w:asciiTheme="majorHAnsi" w:hAnsiTheme="majorHAnsi" w:cstheme="majorHAnsi"/>
                <w:b/>
                <w:bCs w:val="0"/>
                <w:i/>
                <w:iCs/>
                <w:color w:val="000000"/>
                <w:sz w:val="16"/>
                <w:szCs w:val="16"/>
              </w:rPr>
            </w:pPr>
            <w:r w:rsidRPr="00A5344E">
              <w:rPr>
                <w:rFonts w:asciiTheme="majorHAnsi" w:hAnsiTheme="majorHAnsi" w:cstheme="majorHAnsi"/>
                <w:b/>
                <w:i/>
                <w:iCs/>
                <w:color w:val="000000"/>
                <w:sz w:val="16"/>
                <w:szCs w:val="16"/>
              </w:rPr>
              <w:t>Gemeinden zahlen</w:t>
            </w:r>
          </w:p>
        </w:tc>
        <w:tc>
          <w:tcPr>
            <w:tcW w:w="649" w:type="pct"/>
            <w:gridSpan w:val="2"/>
            <w:shd w:val="clear" w:color="auto" w:fill="A8BBC5" w:themeFill="accent1" w:themeFillTint="66"/>
            <w:noWrap/>
          </w:tcPr>
          <w:p w14:paraId="3B968449"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shd w:val="clear" w:color="auto" w:fill="A8BBC5" w:themeFill="accent1" w:themeFillTint="66"/>
            <w:noWrap/>
          </w:tcPr>
          <w:p w14:paraId="185DBA2A" w14:textId="77777777" w:rsidR="004E4BBE" w:rsidRPr="00A5344E" w:rsidRDefault="004E4BBE" w:rsidP="004E4BBE">
            <w:pPr>
              <w:keepNext/>
              <w:jc w:val="right"/>
              <w:rPr>
                <w:rFonts w:asciiTheme="majorHAnsi" w:hAnsiTheme="majorHAnsi" w:cstheme="majorHAnsi"/>
                <w:b/>
                <w:bCs w:val="0"/>
                <w:sz w:val="16"/>
                <w:szCs w:val="16"/>
              </w:rPr>
            </w:pPr>
          </w:p>
        </w:tc>
        <w:tc>
          <w:tcPr>
            <w:tcW w:w="648" w:type="pct"/>
            <w:shd w:val="clear" w:color="auto" w:fill="A8BBC5" w:themeFill="accent1" w:themeFillTint="66"/>
            <w:noWrap/>
          </w:tcPr>
          <w:p w14:paraId="5EBBA856"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shd w:val="clear" w:color="auto" w:fill="A8BBC5" w:themeFill="accent1" w:themeFillTint="66"/>
            <w:noWrap/>
          </w:tcPr>
          <w:p w14:paraId="6035C53B"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320" w:type="pct"/>
            <w:shd w:val="clear" w:color="auto" w:fill="A8BBC5" w:themeFill="accent1" w:themeFillTint="66"/>
            <w:noWrap/>
          </w:tcPr>
          <w:p w14:paraId="09DC480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975" w:type="pct"/>
            <w:gridSpan w:val="2"/>
            <w:shd w:val="clear" w:color="auto" w:fill="A8BBC5" w:themeFill="accent1" w:themeFillTint="66"/>
            <w:noWrap/>
            <w:hideMark/>
          </w:tcPr>
          <w:p w14:paraId="62C49F24" w14:textId="77777777" w:rsidR="004E4BBE" w:rsidRPr="00A5344E" w:rsidRDefault="004E4BBE" w:rsidP="004E4BBE">
            <w:pPr>
              <w:keepNext/>
              <w:jc w:val="right"/>
              <w:rPr>
                <w:rFonts w:asciiTheme="majorHAnsi" w:hAnsiTheme="majorHAnsi" w:cstheme="majorHAnsi"/>
                <w:b/>
                <w:bCs w:val="0"/>
                <w:i/>
                <w:iCs/>
                <w:color w:val="000000"/>
                <w:sz w:val="16"/>
                <w:szCs w:val="16"/>
              </w:rPr>
            </w:pPr>
            <w:r w:rsidRPr="00A5344E">
              <w:rPr>
                <w:rFonts w:asciiTheme="majorHAnsi" w:hAnsiTheme="majorHAnsi" w:cstheme="majorHAnsi"/>
                <w:b/>
                <w:sz w:val="16"/>
                <w:szCs w:val="16"/>
              </w:rPr>
              <w:t>(Mehrbelastung)</w:t>
            </w:r>
          </w:p>
        </w:tc>
      </w:tr>
      <w:tr w:rsidR="004E4BBE" w:rsidRPr="00A5344E" w14:paraId="1F05687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00E75696"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LA Lehrergehälter</w:t>
            </w:r>
          </w:p>
        </w:tc>
        <w:tc>
          <w:tcPr>
            <w:tcW w:w="649" w:type="pct"/>
            <w:gridSpan w:val="2"/>
            <w:noWrap/>
            <w:hideMark/>
          </w:tcPr>
          <w:p w14:paraId="45F15B4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385’358’587</w:t>
            </w:r>
          </w:p>
        </w:tc>
        <w:tc>
          <w:tcPr>
            <w:tcW w:w="648" w:type="pct"/>
            <w:noWrap/>
            <w:hideMark/>
          </w:tcPr>
          <w:p w14:paraId="5746D79B"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399’519’702</w:t>
            </w:r>
          </w:p>
        </w:tc>
        <w:tc>
          <w:tcPr>
            <w:tcW w:w="648" w:type="pct"/>
            <w:noWrap/>
            <w:hideMark/>
          </w:tcPr>
          <w:p w14:paraId="53CA3870"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411’452’067</w:t>
            </w:r>
          </w:p>
        </w:tc>
        <w:tc>
          <w:tcPr>
            <w:tcW w:w="648" w:type="pct"/>
            <w:noWrap/>
            <w:hideMark/>
          </w:tcPr>
          <w:p w14:paraId="0FE4067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427’280’160</w:t>
            </w:r>
          </w:p>
        </w:tc>
        <w:tc>
          <w:tcPr>
            <w:tcW w:w="648" w:type="pct"/>
            <w:gridSpan w:val="2"/>
            <w:noWrap/>
            <w:hideMark/>
          </w:tcPr>
          <w:p w14:paraId="39D7EA27"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442’003’640</w:t>
            </w:r>
          </w:p>
        </w:tc>
        <w:tc>
          <w:tcPr>
            <w:tcW w:w="647" w:type="pct"/>
            <w:noWrap/>
            <w:hideMark/>
          </w:tcPr>
          <w:p w14:paraId="2B3EB07D"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 xml:space="preserve"> -56’645’054</w:t>
            </w:r>
          </w:p>
        </w:tc>
      </w:tr>
      <w:tr w:rsidR="004E4BBE" w:rsidRPr="00A5344E" w14:paraId="244B579B"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2D85EB96" w14:textId="2EF7F8E4"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LA</w:t>
            </w:r>
            <w:r w:rsidRPr="00F978FE">
              <w:rPr>
                <w:rFonts w:asciiTheme="majorHAnsi" w:hAnsiTheme="majorHAnsi" w:cstheme="majorHAnsi"/>
                <w:sz w:val="16"/>
                <w:szCs w:val="16"/>
              </w:rPr>
              <w:t xml:space="preserve"> </w:t>
            </w:r>
            <w:r w:rsidR="001944E1" w:rsidRPr="00F978FE">
              <w:rPr>
                <w:rFonts w:asciiTheme="majorHAnsi" w:hAnsiTheme="majorHAnsi" w:cstheme="majorHAnsi"/>
                <w:sz w:val="16"/>
                <w:szCs w:val="16"/>
              </w:rPr>
              <w:t>Soziales</w:t>
            </w:r>
            <w:r w:rsidR="00053EE5">
              <w:rPr>
                <w:rFonts w:asciiTheme="majorHAnsi" w:hAnsiTheme="majorHAnsi" w:cstheme="majorHAnsi"/>
                <w:sz w:val="16"/>
                <w:szCs w:val="16"/>
              </w:rPr>
              <w:t>/Sozialhilfe</w:t>
            </w:r>
          </w:p>
        </w:tc>
        <w:tc>
          <w:tcPr>
            <w:tcW w:w="649" w:type="pct"/>
            <w:gridSpan w:val="2"/>
            <w:noWrap/>
            <w:hideMark/>
          </w:tcPr>
          <w:p w14:paraId="05AB961D"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529’661’157</w:t>
            </w:r>
          </w:p>
        </w:tc>
        <w:tc>
          <w:tcPr>
            <w:tcW w:w="648" w:type="pct"/>
            <w:noWrap/>
            <w:hideMark/>
          </w:tcPr>
          <w:p w14:paraId="22AA87FD"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531’214’852</w:t>
            </w:r>
          </w:p>
        </w:tc>
        <w:tc>
          <w:tcPr>
            <w:tcW w:w="648" w:type="pct"/>
            <w:noWrap/>
            <w:hideMark/>
          </w:tcPr>
          <w:p w14:paraId="032FCA4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563’829’475</w:t>
            </w:r>
          </w:p>
        </w:tc>
        <w:tc>
          <w:tcPr>
            <w:tcW w:w="648" w:type="pct"/>
            <w:noWrap/>
            <w:hideMark/>
          </w:tcPr>
          <w:p w14:paraId="5B6EF52E"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541’350’617</w:t>
            </w:r>
          </w:p>
        </w:tc>
        <w:tc>
          <w:tcPr>
            <w:tcW w:w="648" w:type="pct"/>
            <w:gridSpan w:val="2"/>
            <w:noWrap/>
            <w:hideMark/>
          </w:tcPr>
          <w:p w14:paraId="4AC0D030"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587’512’589</w:t>
            </w:r>
          </w:p>
        </w:tc>
        <w:tc>
          <w:tcPr>
            <w:tcW w:w="647" w:type="pct"/>
            <w:noWrap/>
            <w:hideMark/>
          </w:tcPr>
          <w:p w14:paraId="61FF902F"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 xml:space="preserve"> -57’851’432</w:t>
            </w:r>
          </w:p>
        </w:tc>
      </w:tr>
      <w:tr w:rsidR="004E4BBE" w:rsidRPr="00A5344E" w14:paraId="04CC3446"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796CAACC"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LA Sozialversicherungen</w:t>
            </w:r>
          </w:p>
        </w:tc>
        <w:tc>
          <w:tcPr>
            <w:tcW w:w="649" w:type="pct"/>
            <w:gridSpan w:val="2"/>
            <w:noWrap/>
            <w:hideMark/>
          </w:tcPr>
          <w:p w14:paraId="58E15DFA"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239’428’922</w:t>
            </w:r>
          </w:p>
        </w:tc>
        <w:tc>
          <w:tcPr>
            <w:tcW w:w="648" w:type="pct"/>
            <w:noWrap/>
            <w:hideMark/>
          </w:tcPr>
          <w:p w14:paraId="58DF220D"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249’126’788</w:t>
            </w:r>
          </w:p>
        </w:tc>
        <w:tc>
          <w:tcPr>
            <w:tcW w:w="648" w:type="pct"/>
            <w:noWrap/>
            <w:hideMark/>
          </w:tcPr>
          <w:p w14:paraId="032A2B96"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246’749’623</w:t>
            </w:r>
          </w:p>
        </w:tc>
        <w:tc>
          <w:tcPr>
            <w:tcW w:w="648" w:type="pct"/>
            <w:noWrap/>
            <w:hideMark/>
          </w:tcPr>
          <w:p w14:paraId="03D6CB53"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242’820’066</w:t>
            </w:r>
          </w:p>
        </w:tc>
        <w:tc>
          <w:tcPr>
            <w:tcW w:w="648" w:type="pct"/>
            <w:gridSpan w:val="2"/>
            <w:noWrap/>
            <w:hideMark/>
          </w:tcPr>
          <w:p w14:paraId="6242DA9D"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248’500’006</w:t>
            </w:r>
          </w:p>
        </w:tc>
        <w:tc>
          <w:tcPr>
            <w:tcW w:w="647" w:type="pct"/>
            <w:noWrap/>
            <w:hideMark/>
          </w:tcPr>
          <w:p w14:paraId="39C990FE"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 xml:space="preserve"> -9’071’084</w:t>
            </w:r>
          </w:p>
        </w:tc>
      </w:tr>
      <w:tr w:rsidR="004E4BBE" w:rsidRPr="00A5344E" w14:paraId="0E4AC46F"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28FE064C"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LA öffentlicher Verkehr</w:t>
            </w:r>
          </w:p>
        </w:tc>
        <w:tc>
          <w:tcPr>
            <w:tcW w:w="649" w:type="pct"/>
            <w:gridSpan w:val="2"/>
            <w:noWrap/>
            <w:hideMark/>
          </w:tcPr>
          <w:p w14:paraId="3444532C"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126’539’137</w:t>
            </w:r>
          </w:p>
        </w:tc>
        <w:tc>
          <w:tcPr>
            <w:tcW w:w="648" w:type="pct"/>
            <w:noWrap/>
            <w:hideMark/>
          </w:tcPr>
          <w:p w14:paraId="3C37965A"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140’239’189</w:t>
            </w:r>
          </w:p>
        </w:tc>
        <w:tc>
          <w:tcPr>
            <w:tcW w:w="648" w:type="pct"/>
            <w:noWrap/>
            <w:hideMark/>
          </w:tcPr>
          <w:p w14:paraId="3B8FCC98"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134’325’606</w:t>
            </w:r>
          </w:p>
        </w:tc>
        <w:tc>
          <w:tcPr>
            <w:tcW w:w="648" w:type="pct"/>
            <w:noWrap/>
            <w:hideMark/>
          </w:tcPr>
          <w:p w14:paraId="16A8AB27"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150’865’555</w:t>
            </w:r>
          </w:p>
        </w:tc>
        <w:tc>
          <w:tcPr>
            <w:tcW w:w="648" w:type="pct"/>
            <w:gridSpan w:val="2"/>
            <w:noWrap/>
            <w:hideMark/>
          </w:tcPr>
          <w:p w14:paraId="5FBAB907"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150’504’394</w:t>
            </w:r>
          </w:p>
        </w:tc>
        <w:tc>
          <w:tcPr>
            <w:tcW w:w="647" w:type="pct"/>
            <w:noWrap/>
            <w:hideMark/>
          </w:tcPr>
          <w:p w14:paraId="195934C9"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 xml:space="preserve"> -23’965’257</w:t>
            </w:r>
          </w:p>
        </w:tc>
      </w:tr>
      <w:tr w:rsidR="004E4BBE" w:rsidRPr="00A5344E" w14:paraId="08EA576F"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655E9FC1"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LA "neue Aufgabenteilung"</w:t>
            </w:r>
          </w:p>
        </w:tc>
        <w:tc>
          <w:tcPr>
            <w:tcW w:w="649" w:type="pct"/>
            <w:gridSpan w:val="2"/>
            <w:noWrap/>
            <w:hideMark/>
          </w:tcPr>
          <w:p w14:paraId="7A238940"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191’182’170</w:t>
            </w:r>
          </w:p>
        </w:tc>
        <w:tc>
          <w:tcPr>
            <w:tcW w:w="648" w:type="pct"/>
            <w:noWrap/>
            <w:hideMark/>
          </w:tcPr>
          <w:p w14:paraId="405549CC"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189’210’000</w:t>
            </w:r>
          </w:p>
        </w:tc>
        <w:tc>
          <w:tcPr>
            <w:tcW w:w="648" w:type="pct"/>
            <w:noWrap/>
            <w:hideMark/>
          </w:tcPr>
          <w:p w14:paraId="22FCE02B"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192’950’000</w:t>
            </w:r>
          </w:p>
        </w:tc>
        <w:tc>
          <w:tcPr>
            <w:tcW w:w="648" w:type="pct"/>
            <w:noWrap/>
            <w:hideMark/>
          </w:tcPr>
          <w:p w14:paraId="5A3088EB"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193’000’000</w:t>
            </w:r>
          </w:p>
        </w:tc>
        <w:tc>
          <w:tcPr>
            <w:tcW w:w="648" w:type="pct"/>
            <w:gridSpan w:val="2"/>
            <w:noWrap/>
            <w:hideMark/>
          </w:tcPr>
          <w:p w14:paraId="13017B29"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193’010’000</w:t>
            </w:r>
          </w:p>
        </w:tc>
        <w:tc>
          <w:tcPr>
            <w:tcW w:w="647" w:type="pct"/>
            <w:noWrap/>
            <w:hideMark/>
          </w:tcPr>
          <w:p w14:paraId="3ADE9AED"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 xml:space="preserve"> -1’827’830</w:t>
            </w:r>
          </w:p>
        </w:tc>
      </w:tr>
      <w:tr w:rsidR="004E4BBE" w:rsidRPr="00A5344E" w14:paraId="1EDF9E5A"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bottom w:val="single" w:sz="18" w:space="0" w:color="7D9AA8" w:themeColor="accent1" w:themeTint="99"/>
            </w:tcBorders>
            <w:noWrap/>
            <w:hideMark/>
          </w:tcPr>
          <w:p w14:paraId="2128EEEE" w14:textId="77777777" w:rsidR="004E4BBE" w:rsidRPr="00A5344E" w:rsidRDefault="004E4BBE" w:rsidP="004E4BBE">
            <w:pPr>
              <w:keepNext/>
              <w:rPr>
                <w:rFonts w:asciiTheme="majorHAnsi" w:hAnsiTheme="majorHAnsi" w:cstheme="majorHAnsi"/>
                <w:b/>
                <w:bCs w:val="0"/>
                <w:color w:val="000000"/>
                <w:sz w:val="16"/>
                <w:szCs w:val="16"/>
              </w:rPr>
            </w:pPr>
            <w:r w:rsidRPr="00A5344E">
              <w:rPr>
                <w:rFonts w:asciiTheme="majorHAnsi" w:hAnsiTheme="majorHAnsi" w:cstheme="majorHAnsi"/>
                <w:b/>
                <w:color w:val="000000"/>
                <w:sz w:val="16"/>
                <w:szCs w:val="16"/>
              </w:rPr>
              <w:t>Total</w:t>
            </w:r>
          </w:p>
        </w:tc>
        <w:tc>
          <w:tcPr>
            <w:tcW w:w="649" w:type="pct"/>
            <w:gridSpan w:val="2"/>
            <w:tcBorders>
              <w:bottom w:val="single" w:sz="18" w:space="0" w:color="7D9AA8" w:themeColor="accent1" w:themeTint="99"/>
            </w:tcBorders>
            <w:noWrap/>
            <w:hideMark/>
          </w:tcPr>
          <w:p w14:paraId="3A62DD61"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1’472’169’973</w:t>
            </w:r>
          </w:p>
        </w:tc>
        <w:tc>
          <w:tcPr>
            <w:tcW w:w="648" w:type="pct"/>
            <w:tcBorders>
              <w:bottom w:val="single" w:sz="18" w:space="0" w:color="7D9AA8" w:themeColor="accent1" w:themeTint="99"/>
            </w:tcBorders>
            <w:noWrap/>
            <w:hideMark/>
          </w:tcPr>
          <w:p w14:paraId="7DD39F90"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1’509’310’531</w:t>
            </w:r>
          </w:p>
        </w:tc>
        <w:tc>
          <w:tcPr>
            <w:tcW w:w="648" w:type="pct"/>
            <w:tcBorders>
              <w:bottom w:val="single" w:sz="18" w:space="0" w:color="7D9AA8" w:themeColor="accent1" w:themeTint="99"/>
            </w:tcBorders>
            <w:noWrap/>
            <w:hideMark/>
          </w:tcPr>
          <w:p w14:paraId="3A9D4289"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1’549’306’771</w:t>
            </w:r>
          </w:p>
        </w:tc>
        <w:tc>
          <w:tcPr>
            <w:tcW w:w="648" w:type="pct"/>
            <w:tcBorders>
              <w:bottom w:val="single" w:sz="18" w:space="0" w:color="7D9AA8" w:themeColor="accent1" w:themeTint="99"/>
            </w:tcBorders>
            <w:noWrap/>
            <w:hideMark/>
          </w:tcPr>
          <w:p w14:paraId="3E0E58E9"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1’555’316’398</w:t>
            </w:r>
          </w:p>
        </w:tc>
        <w:tc>
          <w:tcPr>
            <w:tcW w:w="648" w:type="pct"/>
            <w:gridSpan w:val="2"/>
            <w:tcBorders>
              <w:bottom w:val="single" w:sz="18" w:space="0" w:color="7D9AA8" w:themeColor="accent1" w:themeTint="99"/>
            </w:tcBorders>
            <w:noWrap/>
            <w:hideMark/>
          </w:tcPr>
          <w:p w14:paraId="4775C600"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1’621’530’629</w:t>
            </w:r>
          </w:p>
        </w:tc>
        <w:tc>
          <w:tcPr>
            <w:tcW w:w="647" w:type="pct"/>
            <w:tcBorders>
              <w:bottom w:val="single" w:sz="18" w:space="0" w:color="7D9AA8" w:themeColor="accent1" w:themeTint="99"/>
            </w:tcBorders>
            <w:noWrap/>
            <w:hideMark/>
          </w:tcPr>
          <w:p w14:paraId="0C39C24C" w14:textId="77777777" w:rsidR="004E4BBE" w:rsidRPr="00A5344E" w:rsidRDefault="004E4BBE" w:rsidP="004E4BBE">
            <w:pPr>
              <w:keepNext/>
              <w:jc w:val="right"/>
              <w:rPr>
                <w:rFonts w:asciiTheme="majorHAnsi" w:hAnsiTheme="majorHAnsi" w:cstheme="majorHAnsi"/>
                <w:b/>
                <w:bCs w:val="0"/>
                <w:i/>
                <w:iCs/>
                <w:color w:val="000000"/>
                <w:sz w:val="16"/>
                <w:szCs w:val="16"/>
              </w:rPr>
            </w:pPr>
            <w:r w:rsidRPr="00A5344E">
              <w:rPr>
                <w:rFonts w:asciiTheme="majorHAnsi" w:hAnsiTheme="majorHAnsi" w:cstheme="majorHAnsi"/>
                <w:b/>
                <w:sz w:val="16"/>
                <w:szCs w:val="16"/>
              </w:rPr>
              <w:t xml:space="preserve"> -149’360’656</w:t>
            </w:r>
          </w:p>
        </w:tc>
      </w:tr>
      <w:tr w:rsidR="004E4BBE" w:rsidRPr="00A5344E" w14:paraId="6DF07579"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tcBorders>
              <w:top w:val="single" w:sz="18" w:space="0" w:color="7D9AA8" w:themeColor="accent1" w:themeTint="99"/>
              <w:bottom w:val="single" w:sz="18" w:space="0" w:color="7D9AA8" w:themeColor="accent1" w:themeTint="99"/>
            </w:tcBorders>
            <w:noWrap/>
            <w:hideMark/>
          </w:tcPr>
          <w:p w14:paraId="03CA93C7"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 </w:t>
            </w:r>
          </w:p>
        </w:tc>
        <w:tc>
          <w:tcPr>
            <w:tcW w:w="649" w:type="pct"/>
            <w:gridSpan w:val="2"/>
            <w:tcBorders>
              <w:top w:val="single" w:sz="18" w:space="0" w:color="7D9AA8" w:themeColor="accent1" w:themeTint="99"/>
              <w:bottom w:val="single" w:sz="18" w:space="0" w:color="7D9AA8" w:themeColor="accent1" w:themeTint="99"/>
            </w:tcBorders>
            <w:noWrap/>
            <w:hideMark/>
          </w:tcPr>
          <w:p w14:paraId="0D93EBCC"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7EC9B4EA"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1B2E83F9"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tcBorders>
              <w:top w:val="single" w:sz="18" w:space="0" w:color="7D9AA8" w:themeColor="accent1" w:themeTint="99"/>
              <w:bottom w:val="single" w:sz="18" w:space="0" w:color="7D9AA8" w:themeColor="accent1" w:themeTint="99"/>
            </w:tcBorders>
            <w:noWrap/>
            <w:hideMark/>
          </w:tcPr>
          <w:p w14:paraId="6289B0CF" w14:textId="77777777" w:rsidR="004E4BBE" w:rsidRPr="00A5344E" w:rsidRDefault="004E4BBE" w:rsidP="004E4BBE">
            <w:pPr>
              <w:keepNext/>
              <w:jc w:val="right"/>
              <w:rPr>
                <w:rFonts w:asciiTheme="majorHAnsi" w:hAnsiTheme="majorHAnsi" w:cstheme="majorHAnsi"/>
                <w:color w:val="000000"/>
                <w:sz w:val="16"/>
                <w:szCs w:val="16"/>
              </w:rPr>
            </w:pPr>
          </w:p>
        </w:tc>
        <w:tc>
          <w:tcPr>
            <w:tcW w:w="648" w:type="pct"/>
            <w:gridSpan w:val="2"/>
            <w:tcBorders>
              <w:top w:val="single" w:sz="18" w:space="0" w:color="7D9AA8" w:themeColor="accent1" w:themeTint="99"/>
              <w:bottom w:val="single" w:sz="18" w:space="0" w:color="7D9AA8" w:themeColor="accent1" w:themeTint="99"/>
            </w:tcBorders>
            <w:noWrap/>
            <w:hideMark/>
          </w:tcPr>
          <w:p w14:paraId="5750EEBB" w14:textId="77777777" w:rsidR="004E4BBE" w:rsidRPr="00A5344E" w:rsidRDefault="004E4BBE" w:rsidP="004E4BBE">
            <w:pPr>
              <w:keepNext/>
              <w:jc w:val="right"/>
              <w:rPr>
                <w:rFonts w:asciiTheme="majorHAnsi" w:hAnsiTheme="majorHAnsi" w:cstheme="majorHAnsi"/>
                <w:color w:val="000000"/>
                <w:sz w:val="16"/>
                <w:szCs w:val="16"/>
              </w:rPr>
            </w:pPr>
          </w:p>
        </w:tc>
        <w:tc>
          <w:tcPr>
            <w:tcW w:w="647" w:type="pct"/>
            <w:tcBorders>
              <w:top w:val="single" w:sz="18" w:space="0" w:color="7D9AA8" w:themeColor="accent1" w:themeTint="99"/>
              <w:bottom w:val="single" w:sz="18" w:space="0" w:color="7D9AA8" w:themeColor="accent1" w:themeTint="99"/>
            </w:tcBorders>
            <w:noWrap/>
            <w:hideMark/>
          </w:tcPr>
          <w:p w14:paraId="56E36D99" w14:textId="77777777" w:rsidR="004E4BBE" w:rsidRPr="00A5344E" w:rsidRDefault="004E4BBE" w:rsidP="004E4BBE">
            <w:pPr>
              <w:keepNext/>
              <w:jc w:val="right"/>
              <w:rPr>
                <w:rFonts w:asciiTheme="majorHAnsi" w:hAnsiTheme="majorHAnsi" w:cstheme="majorHAnsi"/>
                <w:i/>
                <w:iCs/>
                <w:color w:val="000000"/>
                <w:sz w:val="16"/>
                <w:szCs w:val="16"/>
              </w:rPr>
            </w:pPr>
          </w:p>
        </w:tc>
      </w:tr>
      <w:tr w:rsidR="004E4BBE" w:rsidRPr="00A5344E" w14:paraId="3977D5F8"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top w:val="single" w:sz="18" w:space="0" w:color="7D9AA8" w:themeColor="accent1" w:themeTint="99"/>
            </w:tcBorders>
            <w:shd w:val="clear" w:color="auto" w:fill="A8BBC5" w:themeFill="accent1" w:themeFillTint="66"/>
            <w:noWrap/>
            <w:hideMark/>
          </w:tcPr>
          <w:p w14:paraId="3CD79C91" w14:textId="77777777" w:rsidR="004E4BBE" w:rsidRPr="00A5344E" w:rsidRDefault="004E4BBE" w:rsidP="004E4BBE">
            <w:pPr>
              <w:keepNext/>
              <w:rPr>
                <w:rFonts w:asciiTheme="majorHAnsi" w:hAnsiTheme="majorHAnsi" w:cstheme="majorHAnsi"/>
                <w:b/>
                <w:bCs w:val="0"/>
                <w:i/>
                <w:iCs/>
                <w:color w:val="000000"/>
                <w:sz w:val="16"/>
                <w:szCs w:val="16"/>
              </w:rPr>
            </w:pPr>
            <w:r w:rsidRPr="00A5344E">
              <w:rPr>
                <w:rFonts w:asciiTheme="majorHAnsi" w:hAnsiTheme="majorHAnsi" w:cstheme="majorHAnsi"/>
                <w:b/>
                <w:i/>
                <w:iCs/>
                <w:color w:val="000000"/>
                <w:sz w:val="16"/>
                <w:szCs w:val="16"/>
              </w:rPr>
              <w:t>Gemeinden erhalten</w:t>
            </w:r>
          </w:p>
        </w:tc>
        <w:tc>
          <w:tcPr>
            <w:tcW w:w="649" w:type="pct"/>
            <w:gridSpan w:val="2"/>
            <w:tcBorders>
              <w:top w:val="single" w:sz="18" w:space="0" w:color="7D9AA8" w:themeColor="accent1" w:themeTint="99"/>
            </w:tcBorders>
            <w:shd w:val="clear" w:color="auto" w:fill="A8BBC5" w:themeFill="accent1" w:themeFillTint="66"/>
            <w:noWrap/>
            <w:hideMark/>
          </w:tcPr>
          <w:p w14:paraId="369E3906"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6EFE668E"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30B14B73"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tcBorders>
            <w:shd w:val="clear" w:color="auto" w:fill="A8BBC5" w:themeFill="accent1" w:themeFillTint="66"/>
            <w:noWrap/>
            <w:hideMark/>
          </w:tcPr>
          <w:p w14:paraId="1CA849FB"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320" w:type="pct"/>
            <w:tcBorders>
              <w:top w:val="single" w:sz="18" w:space="0" w:color="7D9AA8" w:themeColor="accent1" w:themeTint="99"/>
            </w:tcBorders>
            <w:shd w:val="clear" w:color="auto" w:fill="A8BBC5" w:themeFill="accent1" w:themeFillTint="66"/>
            <w:noWrap/>
            <w:hideMark/>
          </w:tcPr>
          <w:p w14:paraId="7F2AD56E"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975" w:type="pct"/>
            <w:gridSpan w:val="2"/>
            <w:tcBorders>
              <w:top w:val="single" w:sz="18" w:space="0" w:color="7D9AA8" w:themeColor="accent1" w:themeTint="99"/>
            </w:tcBorders>
            <w:shd w:val="clear" w:color="auto" w:fill="A8BBC5" w:themeFill="accent1" w:themeFillTint="66"/>
            <w:noWrap/>
            <w:hideMark/>
          </w:tcPr>
          <w:p w14:paraId="294AE675" w14:textId="77777777" w:rsidR="004E4BBE" w:rsidRPr="00A5344E" w:rsidRDefault="004E4BBE" w:rsidP="004E4BBE">
            <w:pPr>
              <w:keepNext/>
              <w:jc w:val="right"/>
              <w:rPr>
                <w:rFonts w:asciiTheme="majorHAnsi" w:hAnsiTheme="majorHAnsi" w:cstheme="majorHAnsi"/>
                <w:b/>
                <w:bCs w:val="0"/>
                <w:i/>
                <w:iCs/>
                <w:color w:val="000000"/>
                <w:sz w:val="16"/>
                <w:szCs w:val="16"/>
              </w:rPr>
            </w:pPr>
            <w:r w:rsidRPr="00A5344E">
              <w:rPr>
                <w:rFonts w:asciiTheme="majorHAnsi" w:hAnsiTheme="majorHAnsi" w:cstheme="majorHAnsi"/>
                <w:b/>
                <w:sz w:val="16"/>
                <w:szCs w:val="16"/>
              </w:rPr>
              <w:t>(Minderbelastung)</w:t>
            </w:r>
          </w:p>
        </w:tc>
      </w:tr>
      <w:tr w:rsidR="004E4BBE" w:rsidRPr="00A5344E" w14:paraId="53F1C84D"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45585F2A"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 xml:space="preserve">Finanzausgleich </w:t>
            </w:r>
          </w:p>
          <w:p w14:paraId="6A47A074"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(nur Mindestausstattung)</w:t>
            </w:r>
          </w:p>
        </w:tc>
        <w:tc>
          <w:tcPr>
            <w:tcW w:w="649" w:type="pct"/>
            <w:gridSpan w:val="2"/>
            <w:noWrap/>
            <w:hideMark/>
          </w:tcPr>
          <w:p w14:paraId="58E365F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29’356’178</w:t>
            </w:r>
          </w:p>
        </w:tc>
        <w:tc>
          <w:tcPr>
            <w:tcW w:w="648" w:type="pct"/>
            <w:noWrap/>
            <w:hideMark/>
          </w:tcPr>
          <w:p w14:paraId="26CACCA8"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30’403’597</w:t>
            </w:r>
          </w:p>
        </w:tc>
        <w:tc>
          <w:tcPr>
            <w:tcW w:w="648" w:type="pct"/>
            <w:noWrap/>
            <w:hideMark/>
          </w:tcPr>
          <w:p w14:paraId="4D1A1768"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29’468’417</w:t>
            </w:r>
          </w:p>
        </w:tc>
        <w:tc>
          <w:tcPr>
            <w:tcW w:w="648" w:type="pct"/>
            <w:noWrap/>
            <w:hideMark/>
          </w:tcPr>
          <w:p w14:paraId="7D00CA78"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31’067’841</w:t>
            </w:r>
          </w:p>
        </w:tc>
        <w:tc>
          <w:tcPr>
            <w:tcW w:w="648" w:type="pct"/>
            <w:gridSpan w:val="2"/>
            <w:noWrap/>
            <w:hideMark/>
          </w:tcPr>
          <w:p w14:paraId="226447B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29’564’402</w:t>
            </w:r>
          </w:p>
        </w:tc>
        <w:tc>
          <w:tcPr>
            <w:tcW w:w="647" w:type="pct"/>
            <w:noWrap/>
            <w:hideMark/>
          </w:tcPr>
          <w:p w14:paraId="7C1F32EE"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-208’224</w:t>
            </w:r>
          </w:p>
        </w:tc>
      </w:tr>
      <w:tr w:rsidR="004E4BBE" w:rsidRPr="00A5344E" w14:paraId="751E0722"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487E9D25"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geografisch-topografischer Zuschuss</w:t>
            </w:r>
          </w:p>
        </w:tc>
        <w:tc>
          <w:tcPr>
            <w:tcW w:w="649" w:type="pct"/>
            <w:gridSpan w:val="2"/>
            <w:noWrap/>
            <w:hideMark/>
          </w:tcPr>
          <w:p w14:paraId="3C5F7759"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38’704’488</w:t>
            </w:r>
          </w:p>
        </w:tc>
        <w:tc>
          <w:tcPr>
            <w:tcW w:w="648" w:type="pct"/>
            <w:noWrap/>
            <w:hideMark/>
          </w:tcPr>
          <w:p w14:paraId="3572622E"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38’711’815</w:t>
            </w:r>
          </w:p>
        </w:tc>
        <w:tc>
          <w:tcPr>
            <w:tcW w:w="648" w:type="pct"/>
            <w:noWrap/>
            <w:hideMark/>
          </w:tcPr>
          <w:p w14:paraId="002D582E"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38’692’120</w:t>
            </w:r>
          </w:p>
        </w:tc>
        <w:tc>
          <w:tcPr>
            <w:tcW w:w="648" w:type="pct"/>
            <w:noWrap/>
            <w:hideMark/>
          </w:tcPr>
          <w:p w14:paraId="669C8B8A"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38’702’195</w:t>
            </w:r>
          </w:p>
        </w:tc>
        <w:tc>
          <w:tcPr>
            <w:tcW w:w="648" w:type="pct"/>
            <w:gridSpan w:val="2"/>
            <w:noWrap/>
            <w:hideMark/>
          </w:tcPr>
          <w:p w14:paraId="1EA21B22"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38’179’602</w:t>
            </w:r>
          </w:p>
        </w:tc>
        <w:tc>
          <w:tcPr>
            <w:tcW w:w="647" w:type="pct"/>
            <w:noWrap/>
            <w:hideMark/>
          </w:tcPr>
          <w:p w14:paraId="4BF79BBA"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524’887</w:t>
            </w:r>
          </w:p>
        </w:tc>
      </w:tr>
      <w:tr w:rsidR="004E4BBE" w:rsidRPr="00A5344E" w14:paraId="6D7403E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noWrap/>
            <w:hideMark/>
          </w:tcPr>
          <w:p w14:paraId="75D96594" w14:textId="77777777" w:rsidR="00A513C6"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 xml:space="preserve">soziodemografischer </w:t>
            </w:r>
          </w:p>
          <w:p w14:paraId="1C049804" w14:textId="392FB256"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Zuschuss</w:t>
            </w:r>
          </w:p>
        </w:tc>
        <w:tc>
          <w:tcPr>
            <w:tcW w:w="649" w:type="pct"/>
            <w:gridSpan w:val="2"/>
            <w:noWrap/>
            <w:hideMark/>
          </w:tcPr>
          <w:p w14:paraId="7748A43F"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14’025’000</w:t>
            </w:r>
          </w:p>
        </w:tc>
        <w:tc>
          <w:tcPr>
            <w:tcW w:w="648" w:type="pct"/>
            <w:noWrap/>
            <w:hideMark/>
          </w:tcPr>
          <w:p w14:paraId="38D1FA13"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15’750’000</w:t>
            </w:r>
          </w:p>
        </w:tc>
        <w:tc>
          <w:tcPr>
            <w:tcW w:w="648" w:type="pct"/>
            <w:noWrap/>
            <w:hideMark/>
          </w:tcPr>
          <w:p w14:paraId="6A738809"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16’000’000</w:t>
            </w:r>
          </w:p>
        </w:tc>
        <w:tc>
          <w:tcPr>
            <w:tcW w:w="648" w:type="pct"/>
            <w:noWrap/>
            <w:hideMark/>
          </w:tcPr>
          <w:p w14:paraId="6D36B901"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16’500’000</w:t>
            </w:r>
          </w:p>
        </w:tc>
        <w:tc>
          <w:tcPr>
            <w:tcW w:w="648" w:type="pct"/>
            <w:gridSpan w:val="2"/>
            <w:noWrap/>
            <w:hideMark/>
          </w:tcPr>
          <w:p w14:paraId="67643F3E"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17’000’000</w:t>
            </w:r>
          </w:p>
        </w:tc>
        <w:tc>
          <w:tcPr>
            <w:tcW w:w="647" w:type="pct"/>
            <w:noWrap/>
            <w:hideMark/>
          </w:tcPr>
          <w:p w14:paraId="0BDB0C50"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-2’975’000</w:t>
            </w:r>
          </w:p>
        </w:tc>
      </w:tr>
      <w:tr w:rsidR="004E4BBE" w:rsidRPr="00A5344E" w14:paraId="5A825B4C"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noWrap/>
            <w:hideMark/>
          </w:tcPr>
          <w:p w14:paraId="16C74AAE" w14:textId="77777777" w:rsidR="004E4BBE" w:rsidRPr="00A5344E" w:rsidRDefault="004E4BBE" w:rsidP="004E4BBE">
            <w:pPr>
              <w:keepNext/>
              <w:rPr>
                <w:rFonts w:asciiTheme="majorHAnsi" w:hAnsiTheme="majorHAnsi" w:cstheme="majorHAnsi"/>
                <w:color w:val="000000"/>
                <w:sz w:val="16"/>
                <w:szCs w:val="16"/>
              </w:rPr>
            </w:pPr>
            <w:r w:rsidRPr="00A5344E">
              <w:rPr>
                <w:rFonts w:asciiTheme="majorHAnsi" w:hAnsiTheme="majorHAnsi" w:cstheme="majorHAnsi"/>
                <w:color w:val="000000"/>
                <w:sz w:val="16"/>
                <w:szCs w:val="16"/>
              </w:rPr>
              <w:t xml:space="preserve">Pauschale Abgeltung </w:t>
            </w:r>
          </w:p>
        </w:tc>
        <w:tc>
          <w:tcPr>
            <w:tcW w:w="649" w:type="pct"/>
            <w:gridSpan w:val="2"/>
            <w:noWrap/>
            <w:hideMark/>
          </w:tcPr>
          <w:p w14:paraId="7688B5DF"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90’844’000</w:t>
            </w:r>
          </w:p>
        </w:tc>
        <w:tc>
          <w:tcPr>
            <w:tcW w:w="648" w:type="pct"/>
            <w:noWrap/>
            <w:hideMark/>
          </w:tcPr>
          <w:p w14:paraId="75B622D8"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90’844’000</w:t>
            </w:r>
          </w:p>
        </w:tc>
        <w:tc>
          <w:tcPr>
            <w:tcW w:w="648" w:type="pct"/>
            <w:noWrap/>
            <w:hideMark/>
          </w:tcPr>
          <w:p w14:paraId="6763BBF7"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90’844’000</w:t>
            </w:r>
          </w:p>
        </w:tc>
        <w:tc>
          <w:tcPr>
            <w:tcW w:w="648" w:type="pct"/>
            <w:noWrap/>
            <w:hideMark/>
          </w:tcPr>
          <w:p w14:paraId="782EEA8A"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90’844’000</w:t>
            </w:r>
          </w:p>
        </w:tc>
        <w:tc>
          <w:tcPr>
            <w:tcW w:w="648" w:type="pct"/>
            <w:gridSpan w:val="2"/>
            <w:noWrap/>
            <w:hideMark/>
          </w:tcPr>
          <w:p w14:paraId="3AE89AFB"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90’844’000</w:t>
            </w:r>
          </w:p>
        </w:tc>
        <w:tc>
          <w:tcPr>
            <w:tcW w:w="647" w:type="pct"/>
            <w:noWrap/>
            <w:hideMark/>
          </w:tcPr>
          <w:p w14:paraId="088E69ED" w14:textId="77777777" w:rsidR="004E4BBE" w:rsidRPr="00A5344E" w:rsidRDefault="004E4BBE" w:rsidP="004E4BBE">
            <w:pPr>
              <w:keepNext/>
              <w:jc w:val="right"/>
              <w:rPr>
                <w:rFonts w:asciiTheme="majorHAnsi" w:hAnsiTheme="majorHAnsi" w:cstheme="majorHAnsi"/>
                <w:i/>
                <w:iCs/>
                <w:color w:val="000000"/>
                <w:sz w:val="16"/>
                <w:szCs w:val="16"/>
              </w:rPr>
            </w:pPr>
            <w:r w:rsidRPr="00A5344E">
              <w:rPr>
                <w:rFonts w:asciiTheme="majorHAnsi" w:hAnsiTheme="majorHAnsi" w:cstheme="majorHAnsi"/>
                <w:sz w:val="16"/>
                <w:szCs w:val="16"/>
              </w:rPr>
              <w:t>-</w:t>
            </w:r>
          </w:p>
        </w:tc>
      </w:tr>
      <w:tr w:rsidR="004E4BBE" w:rsidRPr="00A5344E" w14:paraId="3CAB62CB" w14:textId="77777777" w:rsidTr="001441EF">
        <w:trPr>
          <w:cnfStyle w:val="000000010000" w:firstRow="0" w:lastRow="0" w:firstColumn="0" w:lastColumn="0" w:oddVBand="0" w:evenVBand="0" w:oddHBand="0" w:evenHBand="1" w:firstRowFirstColumn="0" w:firstRowLastColumn="0" w:lastRowFirstColumn="0" w:lastRowLastColumn="0"/>
          <w:trHeight w:val="330"/>
        </w:trPr>
        <w:tc>
          <w:tcPr>
            <w:tcW w:w="1112" w:type="pct"/>
            <w:tcBorders>
              <w:bottom w:val="single" w:sz="18" w:space="0" w:color="7D9AA8" w:themeColor="accent1" w:themeTint="99"/>
            </w:tcBorders>
            <w:noWrap/>
            <w:hideMark/>
          </w:tcPr>
          <w:p w14:paraId="55F56746" w14:textId="77777777" w:rsidR="004E4BBE" w:rsidRPr="00A5344E" w:rsidRDefault="004E4BBE" w:rsidP="004E4BBE">
            <w:pPr>
              <w:keepNext/>
              <w:rPr>
                <w:rFonts w:asciiTheme="majorHAnsi" w:hAnsiTheme="majorHAnsi" w:cstheme="majorHAnsi"/>
                <w:b/>
                <w:bCs w:val="0"/>
                <w:color w:val="000000"/>
                <w:sz w:val="16"/>
                <w:szCs w:val="16"/>
              </w:rPr>
            </w:pPr>
            <w:r w:rsidRPr="00A5344E">
              <w:rPr>
                <w:rFonts w:asciiTheme="majorHAnsi" w:hAnsiTheme="majorHAnsi" w:cstheme="majorHAnsi"/>
                <w:b/>
                <w:color w:val="000000"/>
                <w:sz w:val="16"/>
                <w:szCs w:val="16"/>
              </w:rPr>
              <w:t>Total</w:t>
            </w:r>
          </w:p>
        </w:tc>
        <w:tc>
          <w:tcPr>
            <w:tcW w:w="649" w:type="pct"/>
            <w:gridSpan w:val="2"/>
            <w:tcBorders>
              <w:bottom w:val="single" w:sz="18" w:space="0" w:color="7D9AA8" w:themeColor="accent1" w:themeTint="99"/>
            </w:tcBorders>
            <w:noWrap/>
            <w:hideMark/>
          </w:tcPr>
          <w:p w14:paraId="4287BB27"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172’929’666</w:t>
            </w:r>
          </w:p>
        </w:tc>
        <w:tc>
          <w:tcPr>
            <w:tcW w:w="648" w:type="pct"/>
            <w:tcBorders>
              <w:bottom w:val="single" w:sz="18" w:space="0" w:color="7D9AA8" w:themeColor="accent1" w:themeTint="99"/>
            </w:tcBorders>
            <w:noWrap/>
            <w:hideMark/>
          </w:tcPr>
          <w:p w14:paraId="6C238F06"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175’709’411</w:t>
            </w:r>
          </w:p>
        </w:tc>
        <w:tc>
          <w:tcPr>
            <w:tcW w:w="648" w:type="pct"/>
            <w:tcBorders>
              <w:bottom w:val="single" w:sz="18" w:space="0" w:color="7D9AA8" w:themeColor="accent1" w:themeTint="99"/>
            </w:tcBorders>
            <w:noWrap/>
            <w:hideMark/>
          </w:tcPr>
          <w:p w14:paraId="2B32BA70"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175’004’537</w:t>
            </w:r>
          </w:p>
        </w:tc>
        <w:tc>
          <w:tcPr>
            <w:tcW w:w="648" w:type="pct"/>
            <w:tcBorders>
              <w:bottom w:val="single" w:sz="18" w:space="0" w:color="7D9AA8" w:themeColor="accent1" w:themeTint="99"/>
            </w:tcBorders>
            <w:noWrap/>
            <w:hideMark/>
          </w:tcPr>
          <w:p w14:paraId="54272BD5"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177’114’036</w:t>
            </w:r>
          </w:p>
        </w:tc>
        <w:tc>
          <w:tcPr>
            <w:tcW w:w="648" w:type="pct"/>
            <w:gridSpan w:val="2"/>
            <w:tcBorders>
              <w:bottom w:val="single" w:sz="18" w:space="0" w:color="7D9AA8" w:themeColor="accent1" w:themeTint="99"/>
            </w:tcBorders>
            <w:noWrap/>
            <w:hideMark/>
          </w:tcPr>
          <w:p w14:paraId="7DC97FB7" w14:textId="77777777" w:rsidR="004E4BBE" w:rsidRPr="00A5344E" w:rsidRDefault="004E4BBE" w:rsidP="004E4BBE">
            <w:pPr>
              <w:keepNext/>
              <w:jc w:val="right"/>
              <w:rPr>
                <w:rFonts w:asciiTheme="majorHAnsi" w:hAnsiTheme="majorHAnsi" w:cstheme="majorHAnsi"/>
                <w:b/>
                <w:bCs w:val="0"/>
                <w:color w:val="000000"/>
                <w:sz w:val="16"/>
                <w:szCs w:val="16"/>
              </w:rPr>
            </w:pPr>
            <w:r w:rsidRPr="00A5344E">
              <w:rPr>
                <w:rFonts w:asciiTheme="majorHAnsi" w:hAnsiTheme="majorHAnsi" w:cstheme="majorHAnsi"/>
                <w:b/>
                <w:sz w:val="16"/>
                <w:szCs w:val="16"/>
              </w:rPr>
              <w:t>175’588’003</w:t>
            </w:r>
          </w:p>
        </w:tc>
        <w:tc>
          <w:tcPr>
            <w:tcW w:w="647" w:type="pct"/>
            <w:tcBorders>
              <w:bottom w:val="single" w:sz="18" w:space="0" w:color="7D9AA8" w:themeColor="accent1" w:themeTint="99"/>
            </w:tcBorders>
            <w:noWrap/>
            <w:hideMark/>
          </w:tcPr>
          <w:p w14:paraId="36357A8E" w14:textId="77777777" w:rsidR="004E4BBE" w:rsidRPr="00A5344E" w:rsidRDefault="004E4BBE" w:rsidP="004E4BBE">
            <w:pPr>
              <w:keepNext/>
              <w:jc w:val="right"/>
              <w:rPr>
                <w:rFonts w:asciiTheme="majorHAnsi" w:hAnsiTheme="majorHAnsi" w:cstheme="majorHAnsi"/>
                <w:b/>
                <w:bCs w:val="0"/>
                <w:i/>
                <w:iCs/>
                <w:color w:val="000000"/>
                <w:sz w:val="16"/>
                <w:szCs w:val="16"/>
              </w:rPr>
            </w:pPr>
            <w:r w:rsidRPr="00A5344E">
              <w:rPr>
                <w:rFonts w:asciiTheme="majorHAnsi" w:hAnsiTheme="majorHAnsi" w:cstheme="majorHAnsi"/>
                <w:b/>
                <w:sz w:val="16"/>
                <w:szCs w:val="16"/>
              </w:rPr>
              <w:t>-2’658’337</w:t>
            </w:r>
          </w:p>
        </w:tc>
      </w:tr>
      <w:tr w:rsidR="004E4BBE" w:rsidRPr="00A5344E" w14:paraId="4E37D719" w14:textId="77777777" w:rsidTr="001441EF">
        <w:trPr>
          <w:cnfStyle w:val="000000100000" w:firstRow="0" w:lastRow="0" w:firstColumn="0" w:lastColumn="0" w:oddVBand="0" w:evenVBand="0" w:oddHBand="1" w:evenHBand="0" w:firstRowFirstColumn="0" w:firstRowLastColumn="0" w:lastRowFirstColumn="0" w:lastRowLastColumn="0"/>
          <w:trHeight w:val="330"/>
        </w:trPr>
        <w:tc>
          <w:tcPr>
            <w:tcW w:w="1112" w:type="pct"/>
            <w:tcBorders>
              <w:top w:val="single" w:sz="18" w:space="0" w:color="7D9AA8" w:themeColor="accent1" w:themeTint="99"/>
              <w:bottom w:val="single" w:sz="18" w:space="0" w:color="7D9AA8" w:themeColor="accent1" w:themeTint="99"/>
            </w:tcBorders>
            <w:noWrap/>
            <w:hideMark/>
          </w:tcPr>
          <w:p w14:paraId="15F9CAFC" w14:textId="77777777" w:rsidR="004E4BBE" w:rsidRPr="00A5344E" w:rsidRDefault="004E4BBE" w:rsidP="004E4BBE">
            <w:pPr>
              <w:keepNext/>
              <w:rPr>
                <w:rFonts w:asciiTheme="majorHAnsi" w:hAnsiTheme="majorHAnsi" w:cstheme="majorHAnsi"/>
                <w:b/>
                <w:bCs w:val="0"/>
                <w:color w:val="000000"/>
                <w:sz w:val="16"/>
                <w:szCs w:val="16"/>
              </w:rPr>
            </w:pPr>
            <w:r w:rsidRPr="00A5344E">
              <w:rPr>
                <w:rFonts w:asciiTheme="majorHAnsi" w:hAnsiTheme="majorHAnsi" w:cstheme="majorHAnsi"/>
                <w:b/>
                <w:color w:val="000000"/>
                <w:sz w:val="16"/>
                <w:szCs w:val="16"/>
              </w:rPr>
              <w:t xml:space="preserve">Saldo Belastung </w:t>
            </w:r>
          </w:p>
          <w:p w14:paraId="2AECD2BB" w14:textId="77777777" w:rsidR="004E4BBE" w:rsidRPr="00A5344E" w:rsidRDefault="004E4BBE" w:rsidP="004E4BBE">
            <w:pPr>
              <w:keepNext/>
              <w:rPr>
                <w:rFonts w:asciiTheme="majorHAnsi" w:hAnsiTheme="majorHAnsi" w:cstheme="majorHAnsi"/>
                <w:b/>
                <w:bCs w:val="0"/>
                <w:color w:val="000000"/>
                <w:sz w:val="16"/>
                <w:szCs w:val="16"/>
              </w:rPr>
            </w:pPr>
            <w:r w:rsidRPr="00A5344E">
              <w:rPr>
                <w:rFonts w:asciiTheme="majorHAnsi" w:hAnsiTheme="majorHAnsi" w:cstheme="majorHAnsi"/>
                <w:b/>
                <w:color w:val="000000"/>
                <w:sz w:val="16"/>
                <w:szCs w:val="16"/>
              </w:rPr>
              <w:t>Gemeinden</w:t>
            </w:r>
          </w:p>
        </w:tc>
        <w:tc>
          <w:tcPr>
            <w:tcW w:w="649" w:type="pct"/>
            <w:gridSpan w:val="2"/>
            <w:tcBorders>
              <w:top w:val="single" w:sz="18" w:space="0" w:color="7D9AA8" w:themeColor="accent1" w:themeTint="99"/>
              <w:bottom w:val="single" w:sz="18" w:space="0" w:color="7D9AA8" w:themeColor="accent1" w:themeTint="99"/>
            </w:tcBorders>
            <w:noWrap/>
            <w:hideMark/>
          </w:tcPr>
          <w:p w14:paraId="5A5D17B7"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1’299’240’307</w:t>
            </w:r>
          </w:p>
        </w:tc>
        <w:tc>
          <w:tcPr>
            <w:tcW w:w="648" w:type="pct"/>
            <w:tcBorders>
              <w:top w:val="single" w:sz="18" w:space="0" w:color="7D9AA8" w:themeColor="accent1" w:themeTint="99"/>
              <w:bottom w:val="single" w:sz="18" w:space="0" w:color="7D9AA8" w:themeColor="accent1" w:themeTint="99"/>
            </w:tcBorders>
            <w:noWrap/>
            <w:hideMark/>
          </w:tcPr>
          <w:p w14:paraId="4063A1C5"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1’333’601’120</w:t>
            </w:r>
          </w:p>
        </w:tc>
        <w:tc>
          <w:tcPr>
            <w:tcW w:w="648" w:type="pct"/>
            <w:tcBorders>
              <w:top w:val="single" w:sz="18" w:space="0" w:color="7D9AA8" w:themeColor="accent1" w:themeTint="99"/>
              <w:bottom w:val="single" w:sz="18" w:space="0" w:color="7D9AA8" w:themeColor="accent1" w:themeTint="99"/>
            </w:tcBorders>
            <w:noWrap/>
            <w:hideMark/>
          </w:tcPr>
          <w:p w14:paraId="4941D7AF"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1’374’302’235</w:t>
            </w:r>
          </w:p>
        </w:tc>
        <w:tc>
          <w:tcPr>
            <w:tcW w:w="648" w:type="pct"/>
            <w:tcBorders>
              <w:top w:val="single" w:sz="18" w:space="0" w:color="7D9AA8" w:themeColor="accent1" w:themeTint="99"/>
              <w:bottom w:val="single" w:sz="18" w:space="0" w:color="7D9AA8" w:themeColor="accent1" w:themeTint="99"/>
            </w:tcBorders>
            <w:noWrap/>
            <w:hideMark/>
          </w:tcPr>
          <w:p w14:paraId="7DFC3B99"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1’378’202’362</w:t>
            </w:r>
          </w:p>
        </w:tc>
        <w:tc>
          <w:tcPr>
            <w:tcW w:w="648" w:type="pct"/>
            <w:gridSpan w:val="2"/>
            <w:tcBorders>
              <w:top w:val="single" w:sz="18" w:space="0" w:color="7D9AA8" w:themeColor="accent1" w:themeTint="99"/>
              <w:bottom w:val="single" w:sz="18" w:space="0" w:color="7D9AA8" w:themeColor="accent1" w:themeTint="99"/>
            </w:tcBorders>
            <w:noWrap/>
            <w:hideMark/>
          </w:tcPr>
          <w:p w14:paraId="5087536B" w14:textId="77777777" w:rsidR="004E4BBE" w:rsidRPr="00A5344E" w:rsidRDefault="004E4BBE" w:rsidP="004E4BBE">
            <w:pPr>
              <w:keepNext/>
              <w:jc w:val="right"/>
              <w:rPr>
                <w:rFonts w:asciiTheme="majorHAnsi" w:hAnsiTheme="majorHAnsi" w:cstheme="majorHAnsi"/>
                <w:color w:val="000000"/>
                <w:sz w:val="16"/>
                <w:szCs w:val="16"/>
              </w:rPr>
            </w:pPr>
            <w:r w:rsidRPr="00A5344E">
              <w:rPr>
                <w:rFonts w:asciiTheme="majorHAnsi" w:hAnsiTheme="majorHAnsi" w:cstheme="majorHAnsi"/>
                <w:sz w:val="16"/>
                <w:szCs w:val="16"/>
              </w:rPr>
              <w:t>1’445’942’626</w:t>
            </w:r>
          </w:p>
        </w:tc>
        <w:tc>
          <w:tcPr>
            <w:tcW w:w="647" w:type="pct"/>
            <w:tcBorders>
              <w:top w:val="single" w:sz="18" w:space="0" w:color="7D9AA8" w:themeColor="accent1" w:themeTint="99"/>
              <w:bottom w:val="single" w:sz="18" w:space="0" w:color="7D9AA8" w:themeColor="accent1" w:themeTint="99"/>
            </w:tcBorders>
            <w:noWrap/>
            <w:hideMark/>
          </w:tcPr>
          <w:p w14:paraId="72980D01" w14:textId="77777777" w:rsidR="004E4BBE" w:rsidRPr="00A5344E" w:rsidRDefault="004E4BBE" w:rsidP="004E4BBE">
            <w:pPr>
              <w:keepNext/>
              <w:jc w:val="right"/>
              <w:rPr>
                <w:rFonts w:asciiTheme="majorHAnsi" w:hAnsiTheme="majorHAnsi" w:cstheme="majorHAnsi"/>
                <w:i/>
                <w:iCs/>
                <w:color w:val="000000"/>
                <w:sz w:val="16"/>
                <w:szCs w:val="16"/>
              </w:rPr>
            </w:pPr>
          </w:p>
        </w:tc>
      </w:tr>
      <w:tr w:rsidR="004E4BBE" w:rsidRPr="00A5344E" w14:paraId="6B44C8E0" w14:textId="77777777" w:rsidTr="00A513C6">
        <w:trPr>
          <w:cnfStyle w:val="000000010000" w:firstRow="0" w:lastRow="0" w:firstColumn="0" w:lastColumn="0" w:oddVBand="0" w:evenVBand="0" w:oddHBand="0" w:evenHBand="1" w:firstRowFirstColumn="0" w:firstRowLastColumn="0" w:lastRowFirstColumn="0" w:lastRowLastColumn="0"/>
          <w:trHeight w:val="330"/>
        </w:trPr>
        <w:tc>
          <w:tcPr>
            <w:tcW w:w="1540" w:type="pct"/>
            <w:gridSpan w:val="2"/>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4F43BE1C" w14:textId="77777777" w:rsidR="004E4BBE" w:rsidRPr="00A5344E" w:rsidRDefault="004E4BBE" w:rsidP="004E4BBE">
            <w:pPr>
              <w:keepNext/>
              <w:rPr>
                <w:rFonts w:asciiTheme="majorHAnsi" w:hAnsiTheme="majorHAnsi" w:cstheme="majorHAnsi"/>
                <w:b/>
                <w:bCs w:val="0"/>
                <w:color w:val="000000"/>
                <w:sz w:val="16"/>
                <w:szCs w:val="16"/>
              </w:rPr>
            </w:pPr>
            <w:r w:rsidRPr="00A5344E">
              <w:rPr>
                <w:rFonts w:asciiTheme="majorHAnsi" w:hAnsiTheme="majorHAnsi" w:cstheme="majorHAnsi"/>
                <w:b/>
                <w:color w:val="000000"/>
                <w:sz w:val="16"/>
                <w:szCs w:val="16"/>
              </w:rPr>
              <w:t>Total Mehrbelastung Gemeinden</w:t>
            </w:r>
          </w:p>
        </w:tc>
        <w:tc>
          <w:tcPr>
            <w:tcW w:w="221"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74E124D1"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7C4E4E4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631EBADC"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2CF37080"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8" w:type="pct"/>
            <w:gridSpan w:val="2"/>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122FAB88" w14:textId="77777777" w:rsidR="004E4BBE" w:rsidRPr="00A5344E" w:rsidRDefault="004E4BBE" w:rsidP="004E4BBE">
            <w:pPr>
              <w:keepNext/>
              <w:jc w:val="right"/>
              <w:rPr>
                <w:rFonts w:asciiTheme="majorHAnsi" w:hAnsiTheme="majorHAnsi" w:cstheme="majorHAnsi"/>
                <w:b/>
                <w:bCs w:val="0"/>
                <w:color w:val="000000"/>
                <w:sz w:val="16"/>
                <w:szCs w:val="16"/>
              </w:rPr>
            </w:pPr>
          </w:p>
        </w:tc>
        <w:tc>
          <w:tcPr>
            <w:tcW w:w="647" w:type="pct"/>
            <w:tcBorders>
              <w:top w:val="single" w:sz="18" w:space="0" w:color="7D9AA8" w:themeColor="accent1" w:themeTint="99"/>
              <w:bottom w:val="single" w:sz="18" w:space="0" w:color="7D9AA8" w:themeColor="accent1" w:themeTint="99"/>
            </w:tcBorders>
            <w:shd w:val="clear" w:color="auto" w:fill="7D9AA8" w:themeFill="accent1" w:themeFillTint="99"/>
            <w:noWrap/>
            <w:hideMark/>
          </w:tcPr>
          <w:p w14:paraId="49D42964" w14:textId="77777777" w:rsidR="004E4BBE" w:rsidRPr="00A5344E" w:rsidRDefault="004E4BBE" w:rsidP="004E4BBE">
            <w:pPr>
              <w:keepNext/>
              <w:rPr>
                <w:rFonts w:asciiTheme="majorHAnsi" w:hAnsiTheme="majorHAnsi" w:cstheme="majorHAnsi"/>
                <w:b/>
                <w:bCs w:val="0"/>
                <w:i/>
                <w:iCs/>
                <w:color w:val="000000"/>
                <w:sz w:val="16"/>
                <w:szCs w:val="16"/>
              </w:rPr>
            </w:pPr>
            <w:r w:rsidRPr="00A5344E">
              <w:rPr>
                <w:rFonts w:asciiTheme="majorHAnsi" w:hAnsiTheme="majorHAnsi" w:cstheme="majorHAnsi"/>
                <w:b/>
                <w:i/>
                <w:iCs/>
                <w:color w:val="000000"/>
                <w:sz w:val="16"/>
                <w:szCs w:val="16"/>
              </w:rPr>
              <w:t>-146’702’319</w:t>
            </w:r>
          </w:p>
        </w:tc>
      </w:tr>
      <w:bookmarkEnd w:id="30"/>
    </w:tbl>
    <w:p w14:paraId="391B1048" w14:textId="494BEDEC" w:rsidR="00256F04" w:rsidRPr="00A5344E" w:rsidRDefault="00256F04" w:rsidP="00DC432E">
      <w:pPr>
        <w:pStyle w:val="Textkrper"/>
        <w:spacing w:line="270" w:lineRule="atLeast"/>
        <w:rPr>
          <w:rFonts w:asciiTheme="majorHAnsi" w:hAnsiTheme="majorHAnsi" w:cstheme="majorHAnsi"/>
        </w:rPr>
      </w:pPr>
    </w:p>
    <w:p w14:paraId="7DE125B5" w14:textId="6EA88926" w:rsidR="00984F56" w:rsidRPr="00DC432E" w:rsidRDefault="00984F56" w:rsidP="00DC432E">
      <w:pPr>
        <w:rPr>
          <w:rFonts w:asciiTheme="majorHAnsi" w:hAnsiTheme="majorHAnsi" w:cstheme="majorHAnsi"/>
        </w:rPr>
      </w:pPr>
      <w:r w:rsidRPr="00A5344E">
        <w:rPr>
          <w:rFonts w:asciiTheme="majorHAnsi" w:hAnsiTheme="majorHAnsi" w:cstheme="majorHAnsi"/>
        </w:rPr>
        <w:br w:type="page"/>
      </w:r>
    </w:p>
    <w:p w14:paraId="2CE075F8" w14:textId="77777777" w:rsidR="004E4BBE" w:rsidRPr="00A5344E" w:rsidRDefault="004E4BBE" w:rsidP="004E4BBE">
      <w:pPr>
        <w:pStyle w:val="H1"/>
        <w:rPr>
          <w:rFonts w:cstheme="majorHAnsi"/>
        </w:rPr>
      </w:pPr>
      <w:bookmarkStart w:id="31" w:name="_Ref185250164"/>
      <w:bookmarkStart w:id="32" w:name="_Ref185250340"/>
      <w:bookmarkStart w:id="33" w:name="_Toc191888245"/>
      <w:r w:rsidRPr="00A5344E">
        <w:rPr>
          <w:rFonts w:cstheme="majorHAnsi"/>
        </w:rPr>
        <w:lastRenderedPageBreak/>
        <w:t>Analyse nach Gemeindegruppen</w:t>
      </w:r>
      <w:bookmarkEnd w:id="31"/>
      <w:bookmarkEnd w:id="32"/>
      <w:bookmarkEnd w:id="33"/>
    </w:p>
    <w:p w14:paraId="2D1CB32B" w14:textId="77777777" w:rsidR="004E4BBE" w:rsidRPr="00A5344E" w:rsidRDefault="004E4BBE" w:rsidP="004E4BBE">
      <w:pPr>
        <w:pStyle w:val="berschrift2nummeriert"/>
        <w:rPr>
          <w:rFonts w:cstheme="majorHAnsi"/>
        </w:rPr>
      </w:pPr>
      <w:bookmarkStart w:id="34" w:name="_Ref185250249"/>
      <w:bookmarkStart w:id="35" w:name="_Toc191888246"/>
      <w:r w:rsidRPr="00A5344E">
        <w:rPr>
          <w:rFonts w:cstheme="majorHAnsi"/>
        </w:rPr>
        <w:t>Analyse nach verschiedenen Gemeindegruppen</w:t>
      </w:r>
      <w:bookmarkEnd w:id="34"/>
      <w:bookmarkEnd w:id="35"/>
    </w:p>
    <w:p w14:paraId="42570421" w14:textId="06988DAF" w:rsidR="004E4BBE" w:rsidRPr="00D31D9E" w:rsidRDefault="004E4BBE" w:rsidP="004E4BBE">
      <w:pPr>
        <w:rPr>
          <w:rFonts w:asciiTheme="majorHAnsi" w:hAnsiTheme="majorHAnsi" w:cstheme="majorHAnsi"/>
          <w:szCs w:val="21"/>
        </w:rPr>
      </w:pPr>
      <w:r w:rsidRPr="00D31D9E">
        <w:rPr>
          <w:rFonts w:asciiTheme="majorHAnsi" w:hAnsiTheme="majorHAnsi" w:cstheme="majorHAnsi"/>
          <w:szCs w:val="21"/>
        </w:rPr>
        <w:t xml:space="preserve">Eine Analyse der Ecoplan AG im Jahr 2005 hat gezeigt, dass weder der </w:t>
      </w:r>
      <w:r w:rsidR="00851AE1" w:rsidRPr="00851AE1">
        <w:rPr>
          <w:rFonts w:asciiTheme="majorHAnsi" w:hAnsiTheme="majorHAnsi" w:cstheme="majorHAnsi"/>
          <w:szCs w:val="21"/>
        </w:rPr>
        <w:t>Gemeindetyp</w:t>
      </w:r>
      <w:r w:rsidR="00851AE1" w:rsidRPr="00851AE1">
        <w:rPr>
          <w:rFonts w:asciiTheme="majorHAnsi" w:hAnsiTheme="majorHAnsi" w:cstheme="majorHAnsi"/>
          <w:szCs w:val="21"/>
          <w:vertAlign w:val="superscript"/>
        </w:rPr>
        <w:footnoteReference w:id="1"/>
      </w:r>
      <w:r w:rsidR="00851AE1" w:rsidRPr="00851AE1">
        <w:rPr>
          <w:rFonts w:asciiTheme="majorHAnsi" w:hAnsiTheme="majorHAnsi" w:cstheme="majorHAnsi"/>
          <w:szCs w:val="21"/>
        </w:rPr>
        <w:t xml:space="preserve"> </w:t>
      </w:r>
      <w:r w:rsidRPr="00D31D9E">
        <w:rPr>
          <w:rFonts w:asciiTheme="majorHAnsi" w:hAnsiTheme="majorHAnsi" w:cstheme="majorHAnsi"/>
          <w:szCs w:val="21"/>
        </w:rPr>
        <w:t xml:space="preserve"> noch der </w:t>
      </w:r>
      <w:r w:rsidR="00851AE1" w:rsidRPr="00851AE1">
        <w:rPr>
          <w:rFonts w:asciiTheme="majorHAnsi" w:hAnsiTheme="majorHAnsi" w:cstheme="majorHAnsi"/>
          <w:szCs w:val="21"/>
        </w:rPr>
        <w:t>Landesteil</w:t>
      </w:r>
      <w:r w:rsidR="00851AE1" w:rsidRPr="00851AE1">
        <w:rPr>
          <w:rFonts w:asciiTheme="majorHAnsi" w:hAnsiTheme="majorHAnsi" w:cstheme="majorHAnsi"/>
          <w:szCs w:val="21"/>
          <w:vertAlign w:val="superscript"/>
        </w:rPr>
        <w:footnoteReference w:id="2"/>
      </w:r>
      <w:r w:rsidR="00851AE1" w:rsidRPr="00851AE1">
        <w:rPr>
          <w:rFonts w:asciiTheme="majorHAnsi" w:hAnsiTheme="majorHAnsi" w:cstheme="majorHAnsi"/>
          <w:szCs w:val="21"/>
        </w:rPr>
        <w:t xml:space="preserve"> </w:t>
      </w:r>
      <w:r w:rsidRPr="00D31D9E">
        <w:rPr>
          <w:rFonts w:asciiTheme="majorHAnsi" w:hAnsiTheme="majorHAnsi" w:cstheme="majorHAnsi"/>
          <w:szCs w:val="21"/>
        </w:rPr>
        <w:t>die entscheidenden Faktoren für die unterschiedliche Mehr- bzw. Minderbelastung einer Gemeinde darstellen. Derjenige Faktor, der in der Analyse die deutlichsten Unterschiede zwischen den verschiedenen Gemeinden aufgezeigt hat, ist der harmonisierte Steuerertragsindex (HEI).</w:t>
      </w:r>
    </w:p>
    <w:p w14:paraId="1F46302B" w14:textId="46FD5568" w:rsidR="004E4BBE" w:rsidRPr="00D31D9E" w:rsidRDefault="004E4BBE" w:rsidP="004E4BBE">
      <w:pPr>
        <w:rPr>
          <w:rFonts w:asciiTheme="majorHAnsi" w:hAnsiTheme="majorHAnsi" w:cstheme="majorHAnsi"/>
          <w:szCs w:val="21"/>
        </w:rPr>
      </w:pPr>
      <w:r w:rsidRPr="00D31D9E">
        <w:rPr>
          <w:rFonts w:asciiTheme="majorHAnsi" w:hAnsiTheme="majorHAnsi" w:cstheme="majorHAnsi"/>
          <w:szCs w:val="21"/>
        </w:rPr>
        <w:t>Aus diesem Grund konzentriert sich die Laufende Analyse 202</w:t>
      </w:r>
      <w:r w:rsidR="009C2190" w:rsidRPr="00D31D9E">
        <w:rPr>
          <w:rFonts w:asciiTheme="majorHAnsi" w:hAnsiTheme="majorHAnsi" w:cstheme="majorHAnsi"/>
          <w:szCs w:val="21"/>
        </w:rPr>
        <w:t>4</w:t>
      </w:r>
      <w:r w:rsidRPr="00D31D9E">
        <w:rPr>
          <w:rFonts w:asciiTheme="majorHAnsi" w:hAnsiTheme="majorHAnsi" w:cstheme="majorHAnsi"/>
          <w:szCs w:val="21"/>
        </w:rPr>
        <w:t xml:space="preserve"> konsequenterweise wiederum auf die Analyse nach dem HEI und der Gemeindesteueranlage.</w:t>
      </w:r>
    </w:p>
    <w:p w14:paraId="62B2B4B7" w14:textId="77777777" w:rsidR="004E4BBE" w:rsidRPr="00D31D9E" w:rsidRDefault="004E4BBE" w:rsidP="004E4BBE">
      <w:pPr>
        <w:rPr>
          <w:rFonts w:asciiTheme="majorHAnsi" w:hAnsiTheme="majorHAnsi" w:cstheme="majorHAnsi"/>
          <w:szCs w:val="21"/>
        </w:rPr>
      </w:pPr>
      <w:r w:rsidRPr="00D31D9E">
        <w:rPr>
          <w:rFonts w:asciiTheme="majorHAnsi" w:hAnsiTheme="majorHAnsi" w:cstheme="majorHAnsi"/>
          <w:szCs w:val="21"/>
        </w:rPr>
        <w:t>Diese Fokussierung ist auch deshalb sinnvoll, weil:</w:t>
      </w:r>
    </w:p>
    <w:p w14:paraId="7CCBBB2D" w14:textId="5466B404" w:rsidR="004E4BBE" w:rsidRPr="00D31D9E" w:rsidRDefault="004E4BBE" w:rsidP="004E4BBE">
      <w:pPr>
        <w:pStyle w:val="Aufzhlungszeichen"/>
        <w:contextualSpacing w:val="0"/>
        <w:rPr>
          <w:rFonts w:asciiTheme="majorHAnsi" w:hAnsiTheme="majorHAnsi" w:cstheme="majorHAnsi"/>
          <w:szCs w:val="21"/>
        </w:rPr>
      </w:pPr>
      <w:r w:rsidRPr="00D31D9E">
        <w:rPr>
          <w:rFonts w:asciiTheme="majorHAnsi" w:hAnsiTheme="majorHAnsi" w:cstheme="majorHAnsi"/>
          <w:szCs w:val="21"/>
        </w:rPr>
        <w:t>der HEI die wichtigste Berechnungsgrundlage für die Leistungen und Zuschüsse im Finanzausgleich bildet,</w:t>
      </w:r>
    </w:p>
    <w:p w14:paraId="2ED8A05D" w14:textId="2A1AD0AC" w:rsidR="004E4BBE" w:rsidRPr="00D31D9E" w:rsidRDefault="004E4BBE" w:rsidP="004E4BBE">
      <w:pPr>
        <w:pStyle w:val="Aufzhlungszeichen"/>
        <w:contextualSpacing w:val="0"/>
        <w:rPr>
          <w:rFonts w:asciiTheme="majorHAnsi" w:hAnsiTheme="majorHAnsi" w:cstheme="majorHAnsi"/>
          <w:szCs w:val="21"/>
        </w:rPr>
      </w:pPr>
      <w:r w:rsidRPr="00D31D9E">
        <w:rPr>
          <w:rFonts w:asciiTheme="majorHAnsi" w:hAnsiTheme="majorHAnsi" w:cstheme="majorHAnsi"/>
          <w:szCs w:val="21"/>
        </w:rPr>
        <w:t>die Korrelation von HEI und Gemeindesteueranlage in der Regel hoch ist (ein niedriger HEI ist oftmals mit einer hohen Gemeindesteueranlage gekoppelt),</w:t>
      </w:r>
    </w:p>
    <w:p w14:paraId="478CE2BB" w14:textId="46BA3B03" w:rsidR="004E4BBE" w:rsidRPr="00D31D9E" w:rsidRDefault="004E4BBE" w:rsidP="004E4BBE">
      <w:pPr>
        <w:pStyle w:val="Aufzhlungszeichen"/>
        <w:contextualSpacing w:val="0"/>
        <w:rPr>
          <w:rFonts w:asciiTheme="majorHAnsi" w:hAnsiTheme="majorHAnsi" w:cstheme="majorHAnsi"/>
          <w:szCs w:val="21"/>
        </w:rPr>
      </w:pPr>
      <w:r w:rsidRPr="00D31D9E">
        <w:rPr>
          <w:rFonts w:asciiTheme="majorHAnsi" w:hAnsiTheme="majorHAnsi" w:cstheme="majorHAnsi"/>
          <w:szCs w:val="21"/>
        </w:rPr>
        <w:t>die Feinsteuerung des FILAG durch den Regierungsrat in erster Linie auf der Basis des HEI (Disparitätenabbau und Mindestausstattung) erfolgen kann.</w:t>
      </w:r>
    </w:p>
    <w:p w14:paraId="02E2FCB3" w14:textId="77777777" w:rsidR="004E4BBE" w:rsidRPr="00D31D9E" w:rsidRDefault="004E4BBE" w:rsidP="004E4BBE">
      <w:pPr>
        <w:rPr>
          <w:rFonts w:asciiTheme="majorHAnsi" w:hAnsiTheme="majorHAnsi" w:cstheme="majorHAnsi"/>
          <w:szCs w:val="21"/>
        </w:rPr>
      </w:pPr>
    </w:p>
    <w:p w14:paraId="660E19B9" w14:textId="7133C860" w:rsidR="004E4BBE" w:rsidRPr="00D31D9E" w:rsidRDefault="004E4BBE" w:rsidP="004E4BBE">
      <w:pPr>
        <w:rPr>
          <w:rFonts w:asciiTheme="majorHAnsi" w:hAnsiTheme="majorHAnsi" w:cstheme="majorHAnsi"/>
          <w:szCs w:val="21"/>
        </w:rPr>
      </w:pPr>
      <w:r w:rsidRPr="00D31D9E">
        <w:rPr>
          <w:rFonts w:asciiTheme="majorHAnsi" w:hAnsiTheme="majorHAnsi" w:cstheme="majorHAnsi"/>
          <w:szCs w:val="21"/>
        </w:rPr>
        <w:t>Die Gemeindeanteile im Lastenausgleich Lehrergehälter können in der Analyse nach Gemeindegruppen nicht berücksichtigt werden. Seit der Einführung des neuen Finanzierungsmodells (NFV) im Jahr 2012 ist eine gemeindescharfe Berechnung der Ausgaben für die Gehälter der Lehrkräfte auf Stufe Kindergarten und Volksschule durch den Kanton nicht mehr möglich. Der Grund dafür ist, dass die Direktion für Bildung und Kultur die Gehaltskosten direkt mit den Schulgemeinden und den Schulverbänden abrechnet, die Schülerbeiträge hingegen werden an die Wohnsitzgemeinden der Schülerinnen und Schüler ausbezahlt. Die Verrechnung der Gehaltskosten für externe Schülerinnen und Schüler regeln Gemeinden und Schulverbände untereinander ohne Einbezug des Kantons.</w:t>
      </w:r>
    </w:p>
    <w:p w14:paraId="6AA05245" w14:textId="22EC8DC4" w:rsidR="004E4BBE" w:rsidRPr="00A5344E" w:rsidRDefault="004E4BBE" w:rsidP="004E4BBE">
      <w:pPr>
        <w:pStyle w:val="berschrift2nummeriert"/>
        <w:rPr>
          <w:rFonts w:cstheme="majorHAnsi"/>
        </w:rPr>
      </w:pPr>
      <w:bookmarkStart w:id="36" w:name="_Toc191888247"/>
      <w:r w:rsidRPr="00A5344E">
        <w:rPr>
          <w:rFonts w:cstheme="majorHAnsi"/>
        </w:rPr>
        <w:t xml:space="preserve">Analyse nach HEI </w:t>
      </w:r>
      <w:r w:rsidRPr="00582C4B">
        <w:rPr>
          <w:rFonts w:cstheme="majorHAnsi"/>
        </w:rPr>
        <w:t>20</w:t>
      </w:r>
      <w:r w:rsidR="00751DFF" w:rsidRPr="00582C4B">
        <w:rPr>
          <w:rFonts w:cstheme="majorHAnsi"/>
        </w:rPr>
        <w:t>19</w:t>
      </w:r>
      <w:r w:rsidRPr="00582C4B">
        <w:rPr>
          <w:rFonts w:cstheme="majorHAnsi"/>
        </w:rPr>
        <w:t>–</w:t>
      </w:r>
      <w:r w:rsidR="00751DFF" w:rsidRPr="00582C4B">
        <w:rPr>
          <w:rFonts w:cstheme="majorHAnsi"/>
        </w:rPr>
        <w:t>2023</w:t>
      </w:r>
      <w:bookmarkEnd w:id="36"/>
    </w:p>
    <w:p w14:paraId="7F34CF24" w14:textId="3D0AFAE2" w:rsidR="004E4BBE" w:rsidRPr="00A5344E" w:rsidRDefault="007732EE" w:rsidP="00D31D9E">
      <w:pPr>
        <w:rPr>
          <w:rFonts w:asciiTheme="majorHAnsi" w:hAnsiTheme="majorHAnsi" w:cstheme="majorHAnsi"/>
        </w:rPr>
      </w:pPr>
      <w:r w:rsidRPr="00A5344E">
        <w:rPr>
          <w:rFonts w:asciiTheme="majorHAnsi" w:hAnsiTheme="majorHAnsi" w:cstheme="majorHAnsi"/>
        </w:rPr>
        <w:fldChar w:fldCharType="begin"/>
      </w:r>
      <w:r w:rsidRPr="00A5344E">
        <w:rPr>
          <w:rFonts w:asciiTheme="majorHAnsi" w:hAnsiTheme="majorHAnsi" w:cstheme="majorHAnsi"/>
        </w:rPr>
        <w:instrText xml:space="preserve"> REF _Ref187916278 \h  \* MERGEFORMAT </w:instrText>
      </w:r>
      <w:r w:rsidRPr="00A5344E">
        <w:rPr>
          <w:rFonts w:asciiTheme="majorHAnsi" w:hAnsiTheme="majorHAnsi" w:cstheme="majorHAnsi"/>
        </w:rPr>
      </w:r>
      <w:r w:rsidRPr="00A5344E">
        <w:rPr>
          <w:rFonts w:asciiTheme="majorHAnsi" w:hAnsiTheme="majorHAnsi" w:cstheme="majorHAnsi"/>
        </w:rPr>
        <w:fldChar w:fldCharType="separate"/>
      </w:r>
      <w:r w:rsidR="00A513C6" w:rsidRPr="00A5344E">
        <w:rPr>
          <w:rFonts w:asciiTheme="majorHAnsi" w:hAnsiTheme="majorHAnsi" w:cstheme="majorHAnsi"/>
        </w:rPr>
        <w:t>Abbildung 7</w:t>
      </w:r>
      <w:r w:rsidRPr="00A5344E">
        <w:rPr>
          <w:rFonts w:asciiTheme="majorHAnsi" w:hAnsiTheme="majorHAnsi" w:cstheme="majorHAnsi"/>
        </w:rPr>
        <w:fldChar w:fldCharType="end"/>
      </w:r>
      <w:r w:rsidRPr="00A5344E">
        <w:rPr>
          <w:rFonts w:asciiTheme="majorHAnsi" w:hAnsiTheme="majorHAnsi" w:cstheme="majorHAnsi"/>
        </w:rPr>
        <w:t xml:space="preserve"> </w:t>
      </w:r>
      <w:r w:rsidR="004E4BBE" w:rsidRPr="00A5344E">
        <w:rPr>
          <w:rFonts w:asciiTheme="majorHAnsi" w:hAnsiTheme="majorHAnsi" w:cstheme="majorHAnsi"/>
        </w:rPr>
        <w:t xml:space="preserve">zeigt die Entwicklung der Minder- bzw. Mehrbelastungen seit dem Jahr </w:t>
      </w:r>
      <w:r w:rsidR="006C797F" w:rsidRPr="00E51616">
        <w:rPr>
          <w:rFonts w:asciiTheme="majorHAnsi" w:hAnsiTheme="majorHAnsi" w:cstheme="majorHAnsi"/>
        </w:rPr>
        <w:t>20</w:t>
      </w:r>
      <w:r w:rsidR="00751DFF" w:rsidRPr="00E51616">
        <w:rPr>
          <w:rFonts w:asciiTheme="majorHAnsi" w:hAnsiTheme="majorHAnsi" w:cstheme="majorHAnsi"/>
        </w:rPr>
        <w:t>19</w:t>
      </w:r>
      <w:r w:rsidR="004E4BBE" w:rsidRPr="00A5344E">
        <w:rPr>
          <w:rFonts w:asciiTheme="majorHAnsi" w:hAnsiTheme="majorHAnsi" w:cstheme="majorHAnsi"/>
        </w:rPr>
        <w:t xml:space="preserve"> auf. </w:t>
      </w:r>
      <w:r w:rsidRPr="00A5344E">
        <w:rPr>
          <w:rFonts w:asciiTheme="majorHAnsi" w:hAnsiTheme="majorHAnsi" w:cstheme="majorHAnsi"/>
        </w:rPr>
        <w:t xml:space="preserve">Der Kostentreiber für die Mehrbelastung ist insbesondere das </w:t>
      </w:r>
      <w:r w:rsidRPr="00F978FE">
        <w:rPr>
          <w:rFonts w:asciiTheme="majorHAnsi" w:hAnsiTheme="majorHAnsi" w:cstheme="majorHAnsi"/>
        </w:rPr>
        <w:t xml:space="preserve">Lastenausgleichsystem </w:t>
      </w:r>
      <w:r w:rsidR="001944E1" w:rsidRPr="00F978FE">
        <w:rPr>
          <w:rFonts w:asciiTheme="majorHAnsi" w:hAnsiTheme="majorHAnsi" w:cstheme="majorHAnsi"/>
        </w:rPr>
        <w:t>Soziales</w:t>
      </w:r>
      <w:r w:rsidRPr="00F978FE">
        <w:rPr>
          <w:rFonts w:asciiTheme="majorHAnsi" w:hAnsiTheme="majorHAnsi" w:cstheme="majorHAnsi"/>
        </w:rPr>
        <w:t xml:space="preserve">. </w:t>
      </w:r>
      <w:r w:rsidR="004E4BBE" w:rsidRPr="00F978FE">
        <w:rPr>
          <w:rFonts w:asciiTheme="majorHAnsi" w:hAnsiTheme="majorHAnsi" w:cstheme="majorHAnsi"/>
        </w:rPr>
        <w:t xml:space="preserve">Stärker </w:t>
      </w:r>
      <w:r w:rsidR="004E4BBE" w:rsidRPr="00A5344E">
        <w:rPr>
          <w:rFonts w:asciiTheme="majorHAnsi" w:hAnsiTheme="majorHAnsi" w:cstheme="majorHAnsi"/>
        </w:rPr>
        <w:t>betroffen von dieser Entwicklung sind die finanzschwächeren Gemeinden. Der Grund liegt darin, dass die Gemeindeanteile aufgrund der Wohnbevölkerung, und daher unabhängig von der Steuerkraft, zu leisten sind.</w:t>
      </w:r>
    </w:p>
    <w:p w14:paraId="1AAF1F2F" w14:textId="77777777" w:rsidR="00984F56" w:rsidRPr="00A5344E" w:rsidRDefault="00984F56" w:rsidP="00D31D9E">
      <w:pPr>
        <w:rPr>
          <w:rFonts w:asciiTheme="majorHAnsi" w:hAnsiTheme="majorHAnsi" w:cstheme="majorHAnsi"/>
        </w:rPr>
      </w:pPr>
    </w:p>
    <w:p w14:paraId="27FB8493" w14:textId="77777777" w:rsidR="004E4BBE" w:rsidRPr="00A5344E" w:rsidRDefault="004E4BBE" w:rsidP="00D31D9E">
      <w:pPr>
        <w:rPr>
          <w:rFonts w:asciiTheme="majorHAnsi" w:hAnsiTheme="majorHAnsi" w:cstheme="majorHAnsi"/>
        </w:rPr>
      </w:pPr>
      <w:r w:rsidRPr="00A5344E">
        <w:rPr>
          <w:rFonts w:asciiTheme="majorHAnsi" w:hAnsiTheme="majorHAnsi" w:cstheme="majorHAnsi"/>
        </w:rPr>
        <w:t>Bei den Gemeinden mit einem HEI von grösser als 100 ist die Mehrbelastung im direkten Finanzausgleich vor allem auf die höhere Ausgleichsleistung im Disparitätenabbau der Gemeinde Saanen zurückzuführen.</w:t>
      </w:r>
    </w:p>
    <w:p w14:paraId="1F299FB6" w14:textId="199AAF89" w:rsidR="007732EE" w:rsidRPr="00A5344E" w:rsidRDefault="007732EE" w:rsidP="00D31D9E">
      <w:pPr>
        <w:pStyle w:val="Textkrper"/>
        <w:spacing w:line="270" w:lineRule="atLeast"/>
        <w:rPr>
          <w:rFonts w:asciiTheme="majorHAnsi" w:hAnsiTheme="majorHAnsi" w:cstheme="majorHAnsi"/>
          <w:lang w:val="de-CH"/>
        </w:rPr>
      </w:pPr>
    </w:p>
    <w:p w14:paraId="3943A5A1" w14:textId="14D435CB" w:rsidR="007732EE" w:rsidRPr="00A5344E" w:rsidRDefault="007732EE" w:rsidP="007732EE">
      <w:pPr>
        <w:pStyle w:val="Beschriftung"/>
        <w:keepNext/>
        <w:rPr>
          <w:rFonts w:asciiTheme="majorHAnsi" w:hAnsiTheme="majorHAnsi" w:cstheme="majorHAnsi"/>
          <w:b/>
          <w:bCs w:val="0"/>
        </w:rPr>
      </w:pPr>
      <w:bookmarkStart w:id="37" w:name="_Ref187916278"/>
      <w:r w:rsidRPr="00A5344E">
        <w:rPr>
          <w:rFonts w:asciiTheme="majorHAnsi" w:hAnsiTheme="majorHAnsi" w:cstheme="majorHAnsi"/>
          <w:b/>
          <w:bCs w:val="0"/>
        </w:rPr>
        <w:lastRenderedPageBreak/>
        <w:t xml:space="preserve">Abbildung </w:t>
      </w:r>
      <w:r w:rsidRPr="00A5344E">
        <w:rPr>
          <w:rFonts w:asciiTheme="majorHAnsi" w:hAnsiTheme="majorHAnsi" w:cstheme="majorHAnsi"/>
          <w:b/>
          <w:bCs w:val="0"/>
        </w:rPr>
        <w:fldChar w:fldCharType="begin"/>
      </w:r>
      <w:r w:rsidRPr="00A5344E">
        <w:rPr>
          <w:rFonts w:asciiTheme="majorHAnsi" w:hAnsiTheme="majorHAnsi" w:cstheme="majorHAnsi"/>
          <w:b/>
          <w:bCs w:val="0"/>
        </w:rPr>
        <w:instrText xml:space="preserve"> SEQ Abbildung \* ARABIC </w:instrText>
      </w:r>
      <w:r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7</w:t>
      </w:r>
      <w:r w:rsidRPr="00A5344E">
        <w:rPr>
          <w:rFonts w:asciiTheme="majorHAnsi" w:hAnsiTheme="majorHAnsi" w:cstheme="majorHAnsi"/>
          <w:b/>
          <w:bCs w:val="0"/>
        </w:rPr>
        <w:fldChar w:fldCharType="end"/>
      </w:r>
      <w:bookmarkEnd w:id="37"/>
      <w:r w:rsidRPr="00A5344E">
        <w:rPr>
          <w:rFonts w:asciiTheme="majorHAnsi" w:hAnsiTheme="majorHAnsi" w:cstheme="majorHAnsi"/>
          <w:b/>
          <w:bCs w:val="0"/>
        </w:rPr>
        <w:t>:</w:t>
      </w:r>
      <w:r w:rsidRPr="00A5344E">
        <w:rPr>
          <w:rFonts w:asciiTheme="majorHAnsi" w:hAnsiTheme="majorHAnsi" w:cstheme="majorHAnsi"/>
          <w:b/>
          <w:bCs w:val="0"/>
        </w:rPr>
        <w:tab/>
        <w:t xml:space="preserve">Mehr-/Minderbelastung der Gemeinden, </w:t>
      </w:r>
      <w:r w:rsidR="005646C3" w:rsidRPr="00A5344E">
        <w:rPr>
          <w:rFonts w:asciiTheme="majorHAnsi" w:hAnsiTheme="majorHAnsi" w:cstheme="majorHAnsi"/>
          <w:b/>
          <w:bCs w:val="0"/>
        </w:rPr>
        <w:t>Veränderung</w:t>
      </w:r>
      <w:r w:rsidRPr="00A5344E">
        <w:rPr>
          <w:rFonts w:asciiTheme="majorHAnsi" w:hAnsiTheme="majorHAnsi" w:cstheme="majorHAnsi"/>
          <w:b/>
          <w:bCs w:val="0"/>
        </w:rPr>
        <w:t xml:space="preserve"> der Jahre </w:t>
      </w:r>
      <w:r w:rsidRPr="00E51616">
        <w:rPr>
          <w:rFonts w:asciiTheme="majorHAnsi" w:hAnsiTheme="majorHAnsi" w:cstheme="majorHAnsi"/>
          <w:b/>
          <w:bCs w:val="0"/>
        </w:rPr>
        <w:t>2019 und 2023</w:t>
      </w:r>
      <w:r w:rsidRPr="00A5344E">
        <w:rPr>
          <w:rFonts w:asciiTheme="majorHAnsi" w:hAnsiTheme="majorHAnsi" w:cstheme="majorHAnsi"/>
          <w:b/>
          <w:bCs w:val="0"/>
        </w:rPr>
        <w:t>;</w:t>
      </w:r>
      <w:r w:rsidRPr="00A5344E">
        <w:rPr>
          <w:rFonts w:asciiTheme="majorHAnsi" w:hAnsiTheme="majorHAnsi" w:cstheme="majorHAnsi"/>
          <w:b/>
          <w:bCs w:val="0"/>
        </w:rPr>
        <w:br/>
      </w:r>
      <w:r w:rsidRPr="00A5344E">
        <w:rPr>
          <w:rFonts w:asciiTheme="majorHAnsi" w:hAnsiTheme="majorHAnsi" w:cstheme="majorHAnsi"/>
          <w:b/>
          <w:bCs w:val="0"/>
        </w:rPr>
        <w:tab/>
      </w:r>
      <w:r w:rsidRPr="00A5344E">
        <w:rPr>
          <w:rFonts w:asciiTheme="majorHAnsi" w:hAnsiTheme="majorHAnsi" w:cstheme="majorHAnsi"/>
          <w:b/>
          <w:bCs w:val="0"/>
        </w:rPr>
        <w:tab/>
        <w:t xml:space="preserve">Gemeindeeinteilung nach HEI von </w:t>
      </w:r>
      <w:r w:rsidRPr="00E51616">
        <w:rPr>
          <w:rFonts w:asciiTheme="majorHAnsi" w:hAnsiTheme="majorHAnsi" w:cstheme="majorHAnsi"/>
          <w:b/>
          <w:bCs w:val="0"/>
        </w:rPr>
        <w:t>2023</w:t>
      </w:r>
    </w:p>
    <w:tbl>
      <w:tblPr>
        <w:tblStyle w:val="Ecoplankombi"/>
        <w:tblW w:w="5000" w:type="pct"/>
        <w:tblLook w:val="04A0" w:firstRow="1" w:lastRow="0" w:firstColumn="1" w:lastColumn="0" w:noHBand="0" w:noVBand="1"/>
      </w:tblPr>
      <w:tblGrid>
        <w:gridCol w:w="3128"/>
        <w:gridCol w:w="1142"/>
        <w:gridCol w:w="1142"/>
        <w:gridCol w:w="1141"/>
        <w:gridCol w:w="1143"/>
        <w:gridCol w:w="1141"/>
        <w:gridCol w:w="1141"/>
      </w:tblGrid>
      <w:tr w:rsidR="00751DFF" w:rsidRPr="00A5344E" w14:paraId="757FDF8D" w14:textId="2837E9DE" w:rsidTr="007732EE">
        <w:trPr>
          <w:cnfStyle w:val="100000000000" w:firstRow="1" w:lastRow="0" w:firstColumn="0" w:lastColumn="0" w:oddVBand="0" w:evenVBand="0" w:oddHBand="0" w:evenHBand="0" w:firstRowFirstColumn="0" w:firstRowLastColumn="0" w:lastRowFirstColumn="0" w:lastRowLastColumn="0"/>
          <w:trHeight w:val="330"/>
        </w:trPr>
        <w:tc>
          <w:tcPr>
            <w:tcW w:w="1567" w:type="pct"/>
            <w:noWrap/>
          </w:tcPr>
          <w:p w14:paraId="4CF61B2D" w14:textId="224AF1D6"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b/>
                <w:bCs/>
              </w:rPr>
              <w:t>Rubrik/HEI-Kategorie</w:t>
            </w:r>
          </w:p>
        </w:tc>
        <w:tc>
          <w:tcPr>
            <w:tcW w:w="572" w:type="pct"/>
            <w:noWrap/>
          </w:tcPr>
          <w:p w14:paraId="187D617F" w14:textId="3E946C39"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&lt;60</w:t>
            </w:r>
          </w:p>
        </w:tc>
        <w:tc>
          <w:tcPr>
            <w:tcW w:w="572" w:type="pct"/>
            <w:noWrap/>
          </w:tcPr>
          <w:p w14:paraId="1D11F7F1" w14:textId="13E4EE73"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&gt;60/&lt;70</w:t>
            </w:r>
          </w:p>
        </w:tc>
        <w:tc>
          <w:tcPr>
            <w:tcW w:w="572" w:type="pct"/>
            <w:noWrap/>
          </w:tcPr>
          <w:p w14:paraId="556191DF" w14:textId="4F37F89F"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&gt;70/&lt;80</w:t>
            </w:r>
          </w:p>
        </w:tc>
        <w:tc>
          <w:tcPr>
            <w:tcW w:w="573" w:type="pct"/>
            <w:noWrap/>
          </w:tcPr>
          <w:p w14:paraId="1B25F021" w14:textId="78D76461"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&gt;80/&lt;100</w:t>
            </w:r>
          </w:p>
        </w:tc>
        <w:tc>
          <w:tcPr>
            <w:tcW w:w="572" w:type="pct"/>
            <w:noWrap/>
          </w:tcPr>
          <w:p w14:paraId="1979ECD8" w14:textId="5652B08C"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&gt;100</w:t>
            </w:r>
          </w:p>
        </w:tc>
        <w:tc>
          <w:tcPr>
            <w:tcW w:w="572" w:type="pct"/>
          </w:tcPr>
          <w:p w14:paraId="0413B794" w14:textId="3D11780A"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Total</w:t>
            </w:r>
          </w:p>
        </w:tc>
      </w:tr>
      <w:tr w:rsidR="00751DFF" w:rsidRPr="00A5344E" w14:paraId="58C3C018" w14:textId="037658A6" w:rsidTr="007732EE">
        <w:trPr>
          <w:cnfStyle w:val="000000100000" w:firstRow="0" w:lastRow="0" w:firstColumn="0" w:lastColumn="0" w:oddVBand="0" w:evenVBand="0" w:oddHBand="1" w:evenHBand="0" w:firstRowFirstColumn="0" w:firstRowLastColumn="0" w:lastRowFirstColumn="0" w:lastRowLastColumn="0"/>
          <w:trHeight w:val="330"/>
        </w:trPr>
        <w:tc>
          <w:tcPr>
            <w:tcW w:w="1567" w:type="pct"/>
            <w:noWrap/>
          </w:tcPr>
          <w:p w14:paraId="45B01032" w14:textId="4670A21B"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Total</w:t>
            </w:r>
            <w:r w:rsidR="007732EE" w:rsidRPr="00A5344E">
              <w:rPr>
                <w:rFonts w:asciiTheme="majorHAnsi" w:hAnsiTheme="majorHAnsi" w:cstheme="majorHAnsi"/>
              </w:rPr>
              <w:t xml:space="preserve"> in CHF</w:t>
            </w:r>
          </w:p>
        </w:tc>
        <w:tc>
          <w:tcPr>
            <w:tcW w:w="572" w:type="pct"/>
            <w:noWrap/>
          </w:tcPr>
          <w:p w14:paraId="0E6A1E44" w14:textId="69EEFEE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-168’518</w:t>
            </w:r>
          </w:p>
        </w:tc>
        <w:tc>
          <w:tcPr>
            <w:tcW w:w="572" w:type="pct"/>
            <w:noWrap/>
          </w:tcPr>
          <w:p w14:paraId="1817D0DA" w14:textId="5DC4E41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209’746</w:t>
            </w:r>
          </w:p>
        </w:tc>
        <w:tc>
          <w:tcPr>
            <w:tcW w:w="572" w:type="pct"/>
            <w:noWrap/>
          </w:tcPr>
          <w:p w14:paraId="64B3ECDF" w14:textId="1839CD5D"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3’338’333</w:t>
            </w:r>
          </w:p>
        </w:tc>
        <w:tc>
          <w:tcPr>
            <w:tcW w:w="573" w:type="pct"/>
            <w:noWrap/>
          </w:tcPr>
          <w:p w14:paraId="65931142" w14:textId="5A4A8D1D"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11’973’291</w:t>
            </w:r>
          </w:p>
        </w:tc>
        <w:tc>
          <w:tcPr>
            <w:tcW w:w="572" w:type="pct"/>
            <w:noWrap/>
          </w:tcPr>
          <w:p w14:paraId="560A008B" w14:textId="6AE7C740"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37’675’650</w:t>
            </w:r>
          </w:p>
        </w:tc>
        <w:tc>
          <w:tcPr>
            <w:tcW w:w="572" w:type="pct"/>
          </w:tcPr>
          <w:p w14:paraId="6E338E67" w14:textId="4F6242E0"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53’028’502</w:t>
            </w:r>
          </w:p>
        </w:tc>
      </w:tr>
      <w:tr w:rsidR="00751DFF" w:rsidRPr="00A5344E" w14:paraId="734FFB1B" w14:textId="4AEAE4CD" w:rsidTr="007732EE">
        <w:trPr>
          <w:cnfStyle w:val="000000010000" w:firstRow="0" w:lastRow="0" w:firstColumn="0" w:lastColumn="0" w:oddVBand="0" w:evenVBand="0" w:oddHBand="0" w:evenHBand="1" w:firstRowFirstColumn="0" w:firstRowLastColumn="0" w:lastRowFirstColumn="0" w:lastRowLastColumn="0"/>
          <w:trHeight w:val="330"/>
        </w:trPr>
        <w:tc>
          <w:tcPr>
            <w:tcW w:w="1567" w:type="pct"/>
            <w:noWrap/>
          </w:tcPr>
          <w:p w14:paraId="68AD2C43" w14:textId="4E0B93EA"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in Steuerzehntel</w:t>
            </w:r>
          </w:p>
        </w:tc>
        <w:tc>
          <w:tcPr>
            <w:tcW w:w="572" w:type="pct"/>
            <w:noWrap/>
          </w:tcPr>
          <w:p w14:paraId="5687F47C" w14:textId="319B77F1"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-0.08</w:t>
            </w:r>
          </w:p>
        </w:tc>
        <w:tc>
          <w:tcPr>
            <w:tcW w:w="572" w:type="pct"/>
            <w:noWrap/>
          </w:tcPr>
          <w:p w14:paraId="38BB1356" w14:textId="08DBFB1F"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0.04</w:t>
            </w:r>
          </w:p>
        </w:tc>
        <w:tc>
          <w:tcPr>
            <w:tcW w:w="572" w:type="pct"/>
            <w:noWrap/>
          </w:tcPr>
          <w:p w14:paraId="7BE19F5B" w14:textId="6829485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0.17</w:t>
            </w:r>
          </w:p>
        </w:tc>
        <w:tc>
          <w:tcPr>
            <w:tcW w:w="573" w:type="pct"/>
            <w:noWrap/>
          </w:tcPr>
          <w:p w14:paraId="19AB7373" w14:textId="358A8748"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0.19</w:t>
            </w:r>
          </w:p>
        </w:tc>
        <w:tc>
          <w:tcPr>
            <w:tcW w:w="572" w:type="pct"/>
            <w:noWrap/>
          </w:tcPr>
          <w:p w14:paraId="6178D353" w14:textId="47F8053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0.47</w:t>
            </w:r>
          </w:p>
        </w:tc>
        <w:tc>
          <w:tcPr>
            <w:tcW w:w="572" w:type="pct"/>
          </w:tcPr>
          <w:p w14:paraId="30586F28" w14:textId="721D8AB2"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0.31</w:t>
            </w:r>
          </w:p>
        </w:tc>
      </w:tr>
      <w:tr w:rsidR="00751DFF" w:rsidRPr="00A5344E" w14:paraId="0587C7C5" w14:textId="4BAD0D79" w:rsidTr="007732EE">
        <w:trPr>
          <w:cnfStyle w:val="000000100000" w:firstRow="0" w:lastRow="0" w:firstColumn="0" w:lastColumn="0" w:oddVBand="0" w:evenVBand="0" w:oddHBand="1" w:evenHBand="0" w:firstRowFirstColumn="0" w:firstRowLastColumn="0" w:lastRowFirstColumn="0" w:lastRowLastColumn="0"/>
          <w:trHeight w:val="330"/>
        </w:trPr>
        <w:tc>
          <w:tcPr>
            <w:tcW w:w="1567" w:type="pct"/>
            <w:noWrap/>
          </w:tcPr>
          <w:p w14:paraId="5E61207C" w14:textId="2633B2B4"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Gemeinden Anzahl</w:t>
            </w:r>
          </w:p>
        </w:tc>
        <w:tc>
          <w:tcPr>
            <w:tcW w:w="572" w:type="pct"/>
            <w:noWrap/>
          </w:tcPr>
          <w:p w14:paraId="4F28219E" w14:textId="33894A4C"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33</w:t>
            </w:r>
          </w:p>
        </w:tc>
        <w:tc>
          <w:tcPr>
            <w:tcW w:w="572" w:type="pct"/>
            <w:noWrap/>
          </w:tcPr>
          <w:p w14:paraId="519E8BCE" w14:textId="498AC969"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44</w:t>
            </w:r>
          </w:p>
        </w:tc>
        <w:tc>
          <w:tcPr>
            <w:tcW w:w="572" w:type="pct"/>
            <w:noWrap/>
          </w:tcPr>
          <w:p w14:paraId="4A663CC5" w14:textId="078C6109"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80</w:t>
            </w:r>
          </w:p>
        </w:tc>
        <w:tc>
          <w:tcPr>
            <w:tcW w:w="573" w:type="pct"/>
            <w:noWrap/>
          </w:tcPr>
          <w:p w14:paraId="4F3630BA" w14:textId="497318B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110</w:t>
            </w:r>
          </w:p>
        </w:tc>
        <w:tc>
          <w:tcPr>
            <w:tcW w:w="572" w:type="pct"/>
            <w:noWrap/>
          </w:tcPr>
          <w:p w14:paraId="6CF81D45" w14:textId="4892B754"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70</w:t>
            </w:r>
          </w:p>
        </w:tc>
        <w:tc>
          <w:tcPr>
            <w:tcW w:w="572" w:type="pct"/>
          </w:tcPr>
          <w:p w14:paraId="48EAC0C9" w14:textId="68E6121A"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337</w:t>
            </w:r>
          </w:p>
        </w:tc>
      </w:tr>
      <w:tr w:rsidR="00751DFF" w:rsidRPr="00A5344E" w14:paraId="0AC7DC16" w14:textId="70F2B316" w:rsidTr="007732EE">
        <w:trPr>
          <w:cnfStyle w:val="000000010000" w:firstRow="0" w:lastRow="0" w:firstColumn="0" w:lastColumn="0" w:oddVBand="0" w:evenVBand="0" w:oddHBand="0" w:evenHBand="1" w:firstRowFirstColumn="0" w:firstRowLastColumn="0" w:lastRowFirstColumn="0" w:lastRowLastColumn="0"/>
          <w:trHeight w:val="330"/>
        </w:trPr>
        <w:tc>
          <w:tcPr>
            <w:tcW w:w="1567" w:type="pct"/>
            <w:noWrap/>
          </w:tcPr>
          <w:p w14:paraId="45079307" w14:textId="54A628A7"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Einwohner Anzahl</w:t>
            </w:r>
          </w:p>
        </w:tc>
        <w:tc>
          <w:tcPr>
            <w:tcW w:w="572" w:type="pct"/>
            <w:noWrap/>
          </w:tcPr>
          <w:p w14:paraId="4EA051CD" w14:textId="724094AE"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23’502</w:t>
            </w:r>
          </w:p>
        </w:tc>
        <w:tc>
          <w:tcPr>
            <w:tcW w:w="572" w:type="pct"/>
            <w:noWrap/>
          </w:tcPr>
          <w:p w14:paraId="776F12A4" w14:textId="59C30E59"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54’294</w:t>
            </w:r>
          </w:p>
        </w:tc>
        <w:tc>
          <w:tcPr>
            <w:tcW w:w="572" w:type="pct"/>
            <w:noWrap/>
          </w:tcPr>
          <w:p w14:paraId="7B2B105D" w14:textId="4621247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159’820</w:t>
            </w:r>
          </w:p>
        </w:tc>
        <w:tc>
          <w:tcPr>
            <w:tcW w:w="573" w:type="pct"/>
            <w:noWrap/>
          </w:tcPr>
          <w:p w14:paraId="3E1FCA7A" w14:textId="28A0DC18"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434’170</w:t>
            </w:r>
          </w:p>
        </w:tc>
        <w:tc>
          <w:tcPr>
            <w:tcW w:w="572" w:type="pct"/>
            <w:noWrap/>
          </w:tcPr>
          <w:p w14:paraId="64A78C8D" w14:textId="29678669"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382’316</w:t>
            </w:r>
          </w:p>
        </w:tc>
        <w:tc>
          <w:tcPr>
            <w:tcW w:w="572" w:type="pct"/>
          </w:tcPr>
          <w:p w14:paraId="29CD4B8E" w14:textId="73FFD82D"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1’054’102</w:t>
            </w:r>
          </w:p>
        </w:tc>
      </w:tr>
      <w:tr w:rsidR="00751DFF" w:rsidRPr="00A5344E" w14:paraId="281F1383" w14:textId="43D8441A" w:rsidTr="007732EE">
        <w:trPr>
          <w:cnfStyle w:val="000000100000" w:firstRow="0" w:lastRow="0" w:firstColumn="0" w:lastColumn="0" w:oddVBand="0" w:evenVBand="0" w:oddHBand="1" w:evenHBand="0" w:firstRowFirstColumn="0" w:firstRowLastColumn="0" w:lastRowFirstColumn="0" w:lastRowLastColumn="0"/>
          <w:trHeight w:val="330"/>
        </w:trPr>
        <w:tc>
          <w:tcPr>
            <w:tcW w:w="1567" w:type="pct"/>
            <w:noWrap/>
          </w:tcPr>
          <w:p w14:paraId="3052E9D2" w14:textId="22D6E864"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pro Einwohner</w:t>
            </w:r>
            <w:r w:rsidR="007732EE" w:rsidRPr="00A5344E">
              <w:rPr>
                <w:rFonts w:asciiTheme="majorHAnsi" w:hAnsiTheme="majorHAnsi" w:cstheme="majorHAnsi"/>
              </w:rPr>
              <w:t xml:space="preserve"> in CHF</w:t>
            </w:r>
          </w:p>
        </w:tc>
        <w:tc>
          <w:tcPr>
            <w:tcW w:w="572" w:type="pct"/>
            <w:noWrap/>
          </w:tcPr>
          <w:p w14:paraId="77E0EF1C" w14:textId="44D3231E"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-7</w:t>
            </w:r>
          </w:p>
        </w:tc>
        <w:tc>
          <w:tcPr>
            <w:tcW w:w="572" w:type="pct"/>
            <w:noWrap/>
          </w:tcPr>
          <w:p w14:paraId="0B41EC80" w14:textId="5C8BEF74"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4</w:t>
            </w:r>
          </w:p>
        </w:tc>
        <w:tc>
          <w:tcPr>
            <w:tcW w:w="572" w:type="pct"/>
            <w:noWrap/>
          </w:tcPr>
          <w:p w14:paraId="7B1AB08E" w14:textId="260AE4CF"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21</w:t>
            </w:r>
          </w:p>
        </w:tc>
        <w:tc>
          <w:tcPr>
            <w:tcW w:w="573" w:type="pct"/>
            <w:noWrap/>
          </w:tcPr>
          <w:p w14:paraId="49F4316B" w14:textId="6CF78DA2"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28</w:t>
            </w:r>
          </w:p>
        </w:tc>
        <w:tc>
          <w:tcPr>
            <w:tcW w:w="572" w:type="pct"/>
            <w:noWrap/>
          </w:tcPr>
          <w:p w14:paraId="3818BD33" w14:textId="385551C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99</w:t>
            </w:r>
          </w:p>
        </w:tc>
        <w:tc>
          <w:tcPr>
            <w:tcW w:w="572" w:type="pct"/>
          </w:tcPr>
          <w:p w14:paraId="5AB97827" w14:textId="2CBEE25F"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50</w:t>
            </w:r>
          </w:p>
        </w:tc>
      </w:tr>
    </w:tbl>
    <w:p w14:paraId="5F951022" w14:textId="77777777" w:rsidR="00751DFF" w:rsidRPr="009C7C74" w:rsidRDefault="00751DFF" w:rsidP="004E4BBE">
      <w:pPr>
        <w:rPr>
          <w:rFonts w:asciiTheme="majorHAnsi" w:hAnsiTheme="majorHAnsi" w:cstheme="majorHAnsi"/>
        </w:rPr>
      </w:pPr>
    </w:p>
    <w:p w14:paraId="3EAC0D6A" w14:textId="576EF000" w:rsidR="004E4BBE" w:rsidRPr="00A5344E" w:rsidRDefault="004E4BBE" w:rsidP="004E4BBE">
      <w:pPr>
        <w:pStyle w:val="berschrift2nummeriert"/>
        <w:rPr>
          <w:rFonts w:cstheme="majorHAnsi"/>
        </w:rPr>
      </w:pPr>
      <w:bookmarkStart w:id="38" w:name="_Toc191888248"/>
      <w:r w:rsidRPr="00A5344E">
        <w:rPr>
          <w:rFonts w:cstheme="majorHAnsi"/>
        </w:rPr>
        <w:t xml:space="preserve">Analyse nach Gemeindesteueranlagen </w:t>
      </w:r>
      <w:r w:rsidR="006C797F" w:rsidRPr="00A5344E">
        <w:rPr>
          <w:rFonts w:cstheme="majorHAnsi"/>
        </w:rPr>
        <w:t>2020</w:t>
      </w:r>
      <w:r w:rsidRPr="00A5344E">
        <w:rPr>
          <w:rFonts w:cstheme="majorHAnsi"/>
        </w:rPr>
        <w:t xml:space="preserve"> bis 202</w:t>
      </w:r>
      <w:r w:rsidR="00A513C6" w:rsidRPr="00A5344E">
        <w:rPr>
          <w:rFonts w:cstheme="majorHAnsi"/>
        </w:rPr>
        <w:t>3</w:t>
      </w:r>
      <w:bookmarkEnd w:id="38"/>
    </w:p>
    <w:p w14:paraId="77961015" w14:textId="7677525E" w:rsidR="004E4BBE" w:rsidRPr="00A5344E" w:rsidRDefault="004E4BBE" w:rsidP="004E4BBE">
      <w:pPr>
        <w:rPr>
          <w:rFonts w:asciiTheme="majorHAnsi" w:hAnsiTheme="majorHAnsi" w:cstheme="majorHAnsi"/>
          <w:szCs w:val="21"/>
        </w:rPr>
      </w:pPr>
      <w:r w:rsidRPr="00A5344E">
        <w:rPr>
          <w:rFonts w:asciiTheme="majorHAnsi" w:hAnsiTheme="majorHAnsi" w:cstheme="majorHAnsi"/>
          <w:szCs w:val="21"/>
        </w:rPr>
        <w:t>Die Analyse nach Gemeindesteueranlagen ergibt folgendes Bild</w:t>
      </w:r>
      <w:r w:rsidR="006521C1">
        <w:rPr>
          <w:rFonts w:asciiTheme="majorHAnsi" w:hAnsiTheme="majorHAnsi" w:cstheme="majorHAnsi"/>
          <w:szCs w:val="21"/>
        </w:rPr>
        <w:t xml:space="preserve"> (siehe </w:t>
      </w:r>
      <w:r w:rsidR="006521C1" w:rsidRPr="00A5344E">
        <w:rPr>
          <w:rFonts w:asciiTheme="majorHAnsi" w:hAnsiTheme="majorHAnsi" w:cstheme="majorHAnsi"/>
          <w:szCs w:val="21"/>
        </w:rPr>
        <w:fldChar w:fldCharType="begin"/>
      </w:r>
      <w:r w:rsidR="006521C1" w:rsidRPr="00A5344E">
        <w:rPr>
          <w:rFonts w:asciiTheme="majorHAnsi" w:hAnsiTheme="majorHAnsi" w:cstheme="majorHAnsi"/>
          <w:szCs w:val="21"/>
        </w:rPr>
        <w:instrText xml:space="preserve"> REF _Ref187916716 \h  \* MERGEFORMAT </w:instrText>
      </w:r>
      <w:r w:rsidR="006521C1" w:rsidRPr="00A5344E">
        <w:rPr>
          <w:rFonts w:asciiTheme="majorHAnsi" w:hAnsiTheme="majorHAnsi" w:cstheme="majorHAnsi"/>
          <w:szCs w:val="21"/>
        </w:rPr>
      </w:r>
      <w:r w:rsidR="006521C1" w:rsidRPr="00A5344E">
        <w:rPr>
          <w:rFonts w:asciiTheme="majorHAnsi" w:hAnsiTheme="majorHAnsi" w:cstheme="majorHAnsi"/>
          <w:szCs w:val="21"/>
        </w:rPr>
        <w:fldChar w:fldCharType="separate"/>
      </w:r>
      <w:r w:rsidR="006521C1" w:rsidRPr="00A5344E">
        <w:rPr>
          <w:rFonts w:asciiTheme="majorHAnsi" w:hAnsiTheme="majorHAnsi" w:cstheme="majorHAnsi"/>
          <w:szCs w:val="21"/>
        </w:rPr>
        <w:t xml:space="preserve">Abbildung </w:t>
      </w:r>
      <w:r w:rsidR="006521C1" w:rsidRPr="00A5344E">
        <w:rPr>
          <w:rFonts w:asciiTheme="majorHAnsi" w:hAnsiTheme="majorHAnsi" w:cstheme="majorHAnsi"/>
          <w:noProof/>
          <w:szCs w:val="21"/>
        </w:rPr>
        <w:t>8</w:t>
      </w:r>
      <w:r w:rsidR="006521C1" w:rsidRPr="00A5344E">
        <w:rPr>
          <w:rFonts w:asciiTheme="majorHAnsi" w:hAnsiTheme="majorHAnsi" w:cstheme="majorHAnsi"/>
          <w:szCs w:val="21"/>
        </w:rPr>
        <w:fldChar w:fldCharType="end"/>
      </w:r>
      <w:r w:rsidR="006521C1">
        <w:rPr>
          <w:rFonts w:asciiTheme="majorHAnsi" w:hAnsiTheme="majorHAnsi" w:cstheme="majorHAnsi"/>
          <w:szCs w:val="21"/>
        </w:rPr>
        <w:t>)</w:t>
      </w:r>
      <w:r w:rsidRPr="00A5344E">
        <w:rPr>
          <w:rFonts w:asciiTheme="majorHAnsi" w:hAnsiTheme="majorHAnsi" w:cstheme="majorHAnsi"/>
          <w:szCs w:val="21"/>
        </w:rPr>
        <w:t xml:space="preserve">: Die höchste Mehrbelastung weisen mit </w:t>
      </w:r>
      <w:r w:rsidR="00876211" w:rsidRPr="00A5344E">
        <w:rPr>
          <w:rFonts w:asciiTheme="majorHAnsi" w:hAnsiTheme="majorHAnsi" w:cstheme="majorHAnsi"/>
          <w:szCs w:val="21"/>
        </w:rPr>
        <w:t>0.</w:t>
      </w:r>
      <w:r w:rsidR="00444127" w:rsidRPr="00A5344E">
        <w:rPr>
          <w:rFonts w:asciiTheme="majorHAnsi" w:hAnsiTheme="majorHAnsi" w:cstheme="majorHAnsi"/>
          <w:szCs w:val="21"/>
        </w:rPr>
        <w:t>77</w:t>
      </w:r>
      <w:r w:rsidRPr="00A5344E">
        <w:rPr>
          <w:rFonts w:asciiTheme="majorHAnsi" w:hAnsiTheme="majorHAnsi" w:cstheme="majorHAnsi"/>
          <w:szCs w:val="21"/>
        </w:rPr>
        <w:t xml:space="preserve"> Steueranlagezehnteln die Gemeinden mit einer Steueranlage von kleiner als </w:t>
      </w:r>
      <w:r w:rsidR="00876211" w:rsidRPr="00A5344E">
        <w:rPr>
          <w:rFonts w:asciiTheme="majorHAnsi" w:hAnsiTheme="majorHAnsi" w:cstheme="majorHAnsi"/>
          <w:szCs w:val="21"/>
        </w:rPr>
        <w:t>1.40</w:t>
      </w:r>
      <w:r w:rsidRPr="00A5344E">
        <w:rPr>
          <w:rFonts w:asciiTheme="majorHAnsi" w:hAnsiTheme="majorHAnsi" w:cstheme="majorHAnsi"/>
          <w:szCs w:val="21"/>
        </w:rPr>
        <w:t xml:space="preserve"> aus, vor allem wegen der relativ grossen Mehrbelastung beim direkten Finanzausgleich. Im Gegenzug weisen die Gemeinden mit einer Steueranlage von 1.</w:t>
      </w:r>
      <w:r w:rsidR="00876211" w:rsidRPr="00A5344E">
        <w:rPr>
          <w:rFonts w:asciiTheme="majorHAnsi" w:hAnsiTheme="majorHAnsi" w:cstheme="majorHAnsi"/>
          <w:szCs w:val="21"/>
        </w:rPr>
        <w:t>8</w:t>
      </w:r>
      <w:r w:rsidRPr="00A5344E">
        <w:rPr>
          <w:rFonts w:asciiTheme="majorHAnsi" w:hAnsiTheme="majorHAnsi" w:cstheme="majorHAnsi"/>
          <w:szCs w:val="21"/>
        </w:rPr>
        <w:t>0 bis 1.</w:t>
      </w:r>
      <w:r w:rsidR="00876211" w:rsidRPr="00A5344E">
        <w:rPr>
          <w:rFonts w:asciiTheme="majorHAnsi" w:hAnsiTheme="majorHAnsi" w:cstheme="majorHAnsi"/>
          <w:szCs w:val="21"/>
        </w:rPr>
        <w:t>9</w:t>
      </w:r>
      <w:r w:rsidRPr="00A5344E">
        <w:rPr>
          <w:rFonts w:asciiTheme="majorHAnsi" w:hAnsiTheme="majorHAnsi" w:cstheme="majorHAnsi"/>
          <w:szCs w:val="21"/>
        </w:rPr>
        <w:t>9, dank der Entlastung beim direkten Finanzausgleich, die kleinste Mehrbelastung aus.</w:t>
      </w:r>
    </w:p>
    <w:p w14:paraId="24C539B2" w14:textId="77777777" w:rsidR="00751DFF" w:rsidRPr="00A5344E" w:rsidRDefault="00751DFF" w:rsidP="004E4BBE">
      <w:pPr>
        <w:rPr>
          <w:rFonts w:asciiTheme="majorHAnsi" w:hAnsiTheme="majorHAnsi" w:cstheme="majorHAnsi"/>
        </w:rPr>
      </w:pPr>
    </w:p>
    <w:p w14:paraId="2AD70D16" w14:textId="428FC3BF" w:rsidR="00876211" w:rsidRPr="00A5344E" w:rsidRDefault="00876211" w:rsidP="00876211">
      <w:pPr>
        <w:pStyle w:val="Beschriftung"/>
        <w:keepNext/>
        <w:rPr>
          <w:rFonts w:asciiTheme="majorHAnsi" w:hAnsiTheme="majorHAnsi" w:cstheme="majorHAnsi"/>
          <w:b/>
          <w:bCs w:val="0"/>
        </w:rPr>
      </w:pPr>
      <w:bookmarkStart w:id="39" w:name="_Ref187916716"/>
      <w:r w:rsidRPr="00A5344E">
        <w:rPr>
          <w:rFonts w:asciiTheme="majorHAnsi" w:hAnsiTheme="majorHAnsi" w:cstheme="majorHAnsi"/>
          <w:b/>
          <w:bCs w:val="0"/>
        </w:rPr>
        <w:t xml:space="preserve">Abbildung </w:t>
      </w:r>
      <w:r w:rsidRPr="00A5344E">
        <w:rPr>
          <w:rFonts w:asciiTheme="majorHAnsi" w:hAnsiTheme="majorHAnsi" w:cstheme="majorHAnsi"/>
          <w:b/>
          <w:bCs w:val="0"/>
        </w:rPr>
        <w:fldChar w:fldCharType="begin"/>
      </w:r>
      <w:r w:rsidRPr="00A5344E">
        <w:rPr>
          <w:rFonts w:asciiTheme="majorHAnsi" w:hAnsiTheme="majorHAnsi" w:cstheme="majorHAnsi"/>
          <w:b/>
          <w:bCs w:val="0"/>
        </w:rPr>
        <w:instrText xml:space="preserve"> SEQ Abbildung \* ARABIC </w:instrText>
      </w:r>
      <w:r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8</w:t>
      </w:r>
      <w:r w:rsidRPr="00A5344E">
        <w:rPr>
          <w:rFonts w:asciiTheme="majorHAnsi" w:hAnsiTheme="majorHAnsi" w:cstheme="majorHAnsi"/>
          <w:b/>
          <w:bCs w:val="0"/>
        </w:rPr>
        <w:fldChar w:fldCharType="end"/>
      </w:r>
      <w:bookmarkEnd w:id="39"/>
      <w:r w:rsidRPr="00A5344E">
        <w:rPr>
          <w:rFonts w:asciiTheme="majorHAnsi" w:hAnsiTheme="majorHAnsi" w:cstheme="majorHAnsi"/>
          <w:b/>
          <w:bCs w:val="0"/>
        </w:rPr>
        <w:t>:</w:t>
      </w:r>
      <w:r w:rsidRPr="00A5344E">
        <w:rPr>
          <w:rFonts w:asciiTheme="majorHAnsi" w:hAnsiTheme="majorHAnsi" w:cstheme="majorHAnsi"/>
          <w:b/>
          <w:bCs w:val="0"/>
        </w:rPr>
        <w:tab/>
        <w:t xml:space="preserve">Mehr-/Minderbelastung der Gemeinden, </w:t>
      </w:r>
      <w:r w:rsidR="005646C3" w:rsidRPr="00A5344E">
        <w:rPr>
          <w:rFonts w:asciiTheme="majorHAnsi" w:hAnsiTheme="majorHAnsi" w:cstheme="majorHAnsi"/>
          <w:b/>
          <w:bCs w:val="0"/>
        </w:rPr>
        <w:t>Veränderung</w:t>
      </w:r>
      <w:r w:rsidRPr="00A5344E">
        <w:rPr>
          <w:rFonts w:asciiTheme="majorHAnsi" w:hAnsiTheme="majorHAnsi" w:cstheme="majorHAnsi"/>
          <w:b/>
          <w:bCs w:val="0"/>
        </w:rPr>
        <w:t xml:space="preserve"> der Jahre </w:t>
      </w:r>
      <w:r w:rsidRPr="00E51616">
        <w:rPr>
          <w:rFonts w:asciiTheme="majorHAnsi" w:hAnsiTheme="majorHAnsi" w:cstheme="majorHAnsi"/>
          <w:b/>
          <w:bCs w:val="0"/>
        </w:rPr>
        <w:t>2019 und 2023</w:t>
      </w:r>
      <w:r w:rsidRPr="00A5344E">
        <w:rPr>
          <w:rFonts w:asciiTheme="majorHAnsi" w:hAnsiTheme="majorHAnsi" w:cstheme="majorHAnsi"/>
          <w:b/>
          <w:bCs w:val="0"/>
        </w:rPr>
        <w:t>;</w:t>
      </w:r>
      <w:r w:rsidRPr="00A5344E">
        <w:rPr>
          <w:rFonts w:asciiTheme="majorHAnsi" w:hAnsiTheme="majorHAnsi" w:cstheme="majorHAnsi"/>
          <w:b/>
          <w:bCs w:val="0"/>
        </w:rPr>
        <w:br/>
      </w:r>
      <w:r w:rsidRPr="00A5344E">
        <w:rPr>
          <w:rFonts w:asciiTheme="majorHAnsi" w:hAnsiTheme="majorHAnsi" w:cstheme="majorHAnsi"/>
          <w:b/>
          <w:bCs w:val="0"/>
        </w:rPr>
        <w:tab/>
      </w:r>
      <w:r w:rsidRPr="00A5344E">
        <w:rPr>
          <w:rFonts w:asciiTheme="majorHAnsi" w:hAnsiTheme="majorHAnsi" w:cstheme="majorHAnsi"/>
          <w:b/>
          <w:bCs w:val="0"/>
        </w:rPr>
        <w:tab/>
        <w:t xml:space="preserve">Gemeindeeinteilung nach Gemeindesteueranlage vom Jahr </w:t>
      </w:r>
      <w:r w:rsidRPr="00E51616">
        <w:rPr>
          <w:rFonts w:asciiTheme="majorHAnsi" w:hAnsiTheme="majorHAnsi" w:cstheme="majorHAnsi"/>
          <w:b/>
          <w:bCs w:val="0"/>
        </w:rPr>
        <w:t>20</w:t>
      </w:r>
      <w:r w:rsidR="00B81B58" w:rsidRPr="00E51616">
        <w:rPr>
          <w:rFonts w:asciiTheme="majorHAnsi" w:hAnsiTheme="majorHAnsi" w:cstheme="majorHAnsi"/>
          <w:b/>
          <w:bCs w:val="0"/>
        </w:rPr>
        <w:t>2</w:t>
      </w:r>
      <w:r w:rsidRPr="00E51616">
        <w:rPr>
          <w:rFonts w:asciiTheme="majorHAnsi" w:hAnsiTheme="majorHAnsi" w:cstheme="majorHAnsi"/>
          <w:b/>
          <w:bCs w:val="0"/>
        </w:rPr>
        <w:t>3</w:t>
      </w:r>
    </w:p>
    <w:tbl>
      <w:tblPr>
        <w:tblStyle w:val="Ecoplankombi"/>
        <w:tblW w:w="5000" w:type="pct"/>
        <w:tblLook w:val="04A0" w:firstRow="1" w:lastRow="0" w:firstColumn="1" w:lastColumn="0" w:noHBand="0" w:noVBand="1"/>
      </w:tblPr>
      <w:tblGrid>
        <w:gridCol w:w="2797"/>
        <w:gridCol w:w="1196"/>
        <w:gridCol w:w="1197"/>
        <w:gridCol w:w="1197"/>
        <w:gridCol w:w="1199"/>
        <w:gridCol w:w="1197"/>
        <w:gridCol w:w="1195"/>
      </w:tblGrid>
      <w:tr w:rsidR="00751DFF" w:rsidRPr="00A5344E" w14:paraId="5C028736" w14:textId="77777777" w:rsidTr="00876211">
        <w:trPr>
          <w:cnfStyle w:val="100000000000" w:firstRow="1" w:lastRow="0" w:firstColumn="0" w:lastColumn="0" w:oddVBand="0" w:evenVBand="0" w:oddHBand="0" w:evenHBand="0" w:firstRowFirstColumn="0" w:firstRowLastColumn="0" w:lastRowFirstColumn="0" w:lastRowLastColumn="0"/>
          <w:trHeight w:val="330"/>
        </w:trPr>
        <w:tc>
          <w:tcPr>
            <w:tcW w:w="1401" w:type="pct"/>
            <w:noWrap/>
          </w:tcPr>
          <w:p w14:paraId="5642276D" w14:textId="619FE016"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b/>
                <w:bCs/>
              </w:rPr>
              <w:t>Rubrik/StAnl-Kategorie</w:t>
            </w:r>
          </w:p>
        </w:tc>
        <w:tc>
          <w:tcPr>
            <w:tcW w:w="599" w:type="pct"/>
            <w:noWrap/>
          </w:tcPr>
          <w:p w14:paraId="42EF52A5" w14:textId="5DB48A89"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&lt;1.40</w:t>
            </w:r>
          </w:p>
        </w:tc>
        <w:tc>
          <w:tcPr>
            <w:tcW w:w="600" w:type="pct"/>
            <w:noWrap/>
          </w:tcPr>
          <w:p w14:paraId="724259CE" w14:textId="0E0D3CB7"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&gt;1.40-1.59</w:t>
            </w:r>
          </w:p>
        </w:tc>
        <w:tc>
          <w:tcPr>
            <w:tcW w:w="600" w:type="pct"/>
            <w:noWrap/>
          </w:tcPr>
          <w:p w14:paraId="767C3A2E" w14:textId="1CE3DDB9"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&gt;1.60-1.79</w:t>
            </w:r>
          </w:p>
        </w:tc>
        <w:tc>
          <w:tcPr>
            <w:tcW w:w="601" w:type="pct"/>
            <w:noWrap/>
          </w:tcPr>
          <w:p w14:paraId="16D0EAC7" w14:textId="476DEF89"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1.80-1.99</w:t>
            </w:r>
          </w:p>
        </w:tc>
        <w:tc>
          <w:tcPr>
            <w:tcW w:w="600" w:type="pct"/>
            <w:noWrap/>
          </w:tcPr>
          <w:p w14:paraId="67CB95B4" w14:textId="7B3D0D07"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&gt;2.00</w:t>
            </w:r>
          </w:p>
        </w:tc>
        <w:tc>
          <w:tcPr>
            <w:tcW w:w="600" w:type="pct"/>
          </w:tcPr>
          <w:p w14:paraId="083B0A30" w14:textId="0F09B153" w:rsidR="00751DFF" w:rsidRPr="00A5344E" w:rsidRDefault="00751DFF" w:rsidP="00751DFF">
            <w:pPr>
              <w:pStyle w:val="Tabellentext"/>
              <w:jc w:val="right"/>
              <w:rPr>
                <w:rFonts w:asciiTheme="majorHAnsi" w:hAnsiTheme="majorHAnsi" w:cstheme="majorHAnsi"/>
                <w:b/>
                <w:bCs/>
                <w:lang w:eastAsia="de-CH"/>
              </w:rPr>
            </w:pPr>
            <w:r w:rsidRPr="00A5344E">
              <w:rPr>
                <w:rFonts w:asciiTheme="majorHAnsi" w:hAnsiTheme="majorHAnsi" w:cstheme="majorHAnsi"/>
                <w:b/>
                <w:bCs/>
              </w:rPr>
              <w:t>Total</w:t>
            </w:r>
          </w:p>
        </w:tc>
      </w:tr>
      <w:tr w:rsidR="00751DFF" w:rsidRPr="00A5344E" w14:paraId="0C44A4C8" w14:textId="77777777" w:rsidTr="00876211">
        <w:trPr>
          <w:cnfStyle w:val="000000100000" w:firstRow="0" w:lastRow="0" w:firstColumn="0" w:lastColumn="0" w:oddVBand="0" w:evenVBand="0" w:oddHBand="1" w:evenHBand="0" w:firstRowFirstColumn="0" w:firstRowLastColumn="0" w:lastRowFirstColumn="0" w:lastRowLastColumn="0"/>
          <w:trHeight w:val="330"/>
        </w:trPr>
        <w:tc>
          <w:tcPr>
            <w:tcW w:w="1401" w:type="pct"/>
            <w:noWrap/>
          </w:tcPr>
          <w:p w14:paraId="680A1029" w14:textId="34F25474"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Total</w:t>
            </w:r>
          </w:p>
        </w:tc>
        <w:tc>
          <w:tcPr>
            <w:tcW w:w="599" w:type="pct"/>
            <w:noWrap/>
          </w:tcPr>
          <w:p w14:paraId="651AE429" w14:textId="1A2CAC84"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12’052’046</w:t>
            </w:r>
          </w:p>
        </w:tc>
        <w:tc>
          <w:tcPr>
            <w:tcW w:w="600" w:type="pct"/>
            <w:noWrap/>
          </w:tcPr>
          <w:p w14:paraId="53AFEEFB" w14:textId="36E0E550"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22’877’870</w:t>
            </w:r>
          </w:p>
        </w:tc>
        <w:tc>
          <w:tcPr>
            <w:tcW w:w="600" w:type="pct"/>
            <w:noWrap/>
          </w:tcPr>
          <w:p w14:paraId="1F6FF737" w14:textId="638EEBBB"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14’641’074</w:t>
            </w:r>
          </w:p>
        </w:tc>
        <w:tc>
          <w:tcPr>
            <w:tcW w:w="601" w:type="pct"/>
            <w:noWrap/>
          </w:tcPr>
          <w:p w14:paraId="256BBF44" w14:textId="41EF53B4"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3’052’463</w:t>
            </w:r>
          </w:p>
        </w:tc>
        <w:tc>
          <w:tcPr>
            <w:tcW w:w="600" w:type="pct"/>
            <w:noWrap/>
          </w:tcPr>
          <w:p w14:paraId="319555B7" w14:textId="6801110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405’049</w:t>
            </w:r>
          </w:p>
        </w:tc>
        <w:tc>
          <w:tcPr>
            <w:tcW w:w="600" w:type="pct"/>
          </w:tcPr>
          <w:p w14:paraId="4906284B" w14:textId="467B47E5"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53’028’502</w:t>
            </w:r>
          </w:p>
        </w:tc>
      </w:tr>
      <w:tr w:rsidR="00751DFF" w:rsidRPr="00A5344E" w14:paraId="3FA799E5" w14:textId="77777777" w:rsidTr="00876211">
        <w:trPr>
          <w:cnfStyle w:val="000000010000" w:firstRow="0" w:lastRow="0" w:firstColumn="0" w:lastColumn="0" w:oddVBand="0" w:evenVBand="0" w:oddHBand="0" w:evenHBand="1" w:firstRowFirstColumn="0" w:firstRowLastColumn="0" w:lastRowFirstColumn="0" w:lastRowLastColumn="0"/>
          <w:trHeight w:val="330"/>
        </w:trPr>
        <w:tc>
          <w:tcPr>
            <w:tcW w:w="1401" w:type="pct"/>
            <w:noWrap/>
          </w:tcPr>
          <w:p w14:paraId="407256D6" w14:textId="23E83073"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in Steuerzehntel</w:t>
            </w:r>
          </w:p>
        </w:tc>
        <w:tc>
          <w:tcPr>
            <w:tcW w:w="599" w:type="pct"/>
            <w:noWrap/>
          </w:tcPr>
          <w:p w14:paraId="7D7A22D6" w14:textId="008888C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0.77</w:t>
            </w:r>
          </w:p>
        </w:tc>
        <w:tc>
          <w:tcPr>
            <w:tcW w:w="600" w:type="pct"/>
            <w:noWrap/>
          </w:tcPr>
          <w:p w14:paraId="51975670" w14:textId="68594F7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0.35</w:t>
            </w:r>
          </w:p>
        </w:tc>
        <w:tc>
          <w:tcPr>
            <w:tcW w:w="600" w:type="pct"/>
            <w:noWrap/>
          </w:tcPr>
          <w:p w14:paraId="35DBF9B4" w14:textId="7E05EAB9"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0.22</w:t>
            </w:r>
          </w:p>
        </w:tc>
        <w:tc>
          <w:tcPr>
            <w:tcW w:w="601" w:type="pct"/>
            <w:noWrap/>
          </w:tcPr>
          <w:p w14:paraId="53074143" w14:textId="2EF399CE"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0.17</w:t>
            </w:r>
          </w:p>
        </w:tc>
        <w:tc>
          <w:tcPr>
            <w:tcW w:w="600" w:type="pct"/>
            <w:noWrap/>
          </w:tcPr>
          <w:p w14:paraId="585F7D22" w14:textId="731B5CD8"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0.27</w:t>
            </w:r>
          </w:p>
        </w:tc>
        <w:tc>
          <w:tcPr>
            <w:tcW w:w="600" w:type="pct"/>
          </w:tcPr>
          <w:p w14:paraId="62505A5D" w14:textId="541DDFA6"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0.31</w:t>
            </w:r>
          </w:p>
        </w:tc>
      </w:tr>
      <w:tr w:rsidR="00751DFF" w:rsidRPr="00A5344E" w14:paraId="13E92A60" w14:textId="77777777" w:rsidTr="00876211">
        <w:trPr>
          <w:cnfStyle w:val="000000100000" w:firstRow="0" w:lastRow="0" w:firstColumn="0" w:lastColumn="0" w:oddVBand="0" w:evenVBand="0" w:oddHBand="1" w:evenHBand="0" w:firstRowFirstColumn="0" w:firstRowLastColumn="0" w:lastRowFirstColumn="0" w:lastRowLastColumn="0"/>
          <w:trHeight w:val="330"/>
        </w:trPr>
        <w:tc>
          <w:tcPr>
            <w:tcW w:w="1401" w:type="pct"/>
            <w:noWrap/>
          </w:tcPr>
          <w:p w14:paraId="1BC7C68D" w14:textId="4E3ADB0F"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Gemeinden Anzahl</w:t>
            </w:r>
          </w:p>
        </w:tc>
        <w:tc>
          <w:tcPr>
            <w:tcW w:w="599" w:type="pct"/>
            <w:noWrap/>
          </w:tcPr>
          <w:p w14:paraId="5A18D953" w14:textId="5C8A2427"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18</w:t>
            </w:r>
          </w:p>
        </w:tc>
        <w:tc>
          <w:tcPr>
            <w:tcW w:w="600" w:type="pct"/>
            <w:noWrap/>
          </w:tcPr>
          <w:p w14:paraId="065637A6" w14:textId="47B8A96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63</w:t>
            </w:r>
          </w:p>
        </w:tc>
        <w:tc>
          <w:tcPr>
            <w:tcW w:w="600" w:type="pct"/>
            <w:noWrap/>
          </w:tcPr>
          <w:p w14:paraId="34A17D66" w14:textId="7B4F771B"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140</w:t>
            </w:r>
          </w:p>
        </w:tc>
        <w:tc>
          <w:tcPr>
            <w:tcW w:w="601" w:type="pct"/>
            <w:noWrap/>
          </w:tcPr>
          <w:p w14:paraId="32547E55" w14:textId="1E4F9F00"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101</w:t>
            </w:r>
          </w:p>
        </w:tc>
        <w:tc>
          <w:tcPr>
            <w:tcW w:w="600" w:type="pct"/>
            <w:noWrap/>
          </w:tcPr>
          <w:p w14:paraId="6E7F5945" w14:textId="720857BF"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15</w:t>
            </w:r>
          </w:p>
        </w:tc>
        <w:tc>
          <w:tcPr>
            <w:tcW w:w="600" w:type="pct"/>
          </w:tcPr>
          <w:p w14:paraId="26909677" w14:textId="5EE5DE2D"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337</w:t>
            </w:r>
          </w:p>
        </w:tc>
      </w:tr>
      <w:tr w:rsidR="00751DFF" w:rsidRPr="00A5344E" w14:paraId="6654FEAB" w14:textId="77777777" w:rsidTr="00876211">
        <w:trPr>
          <w:cnfStyle w:val="000000010000" w:firstRow="0" w:lastRow="0" w:firstColumn="0" w:lastColumn="0" w:oddVBand="0" w:evenVBand="0" w:oddHBand="0" w:evenHBand="1" w:firstRowFirstColumn="0" w:firstRowLastColumn="0" w:lastRowFirstColumn="0" w:lastRowLastColumn="0"/>
          <w:trHeight w:val="330"/>
        </w:trPr>
        <w:tc>
          <w:tcPr>
            <w:tcW w:w="1401" w:type="pct"/>
            <w:noWrap/>
          </w:tcPr>
          <w:p w14:paraId="730B61DD" w14:textId="33AE36F9"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Einwohner Anzahl</w:t>
            </w:r>
          </w:p>
        </w:tc>
        <w:tc>
          <w:tcPr>
            <w:tcW w:w="599" w:type="pct"/>
            <w:noWrap/>
          </w:tcPr>
          <w:p w14:paraId="16B655F2" w14:textId="4165B876"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59’751</w:t>
            </w:r>
          </w:p>
        </w:tc>
        <w:tc>
          <w:tcPr>
            <w:tcW w:w="600" w:type="pct"/>
            <w:noWrap/>
          </w:tcPr>
          <w:p w14:paraId="6C0BE5BA" w14:textId="599C69E1"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356’075</w:t>
            </w:r>
          </w:p>
        </w:tc>
        <w:tc>
          <w:tcPr>
            <w:tcW w:w="600" w:type="pct"/>
            <w:noWrap/>
          </w:tcPr>
          <w:p w14:paraId="1F78EEFB" w14:textId="794B1C15"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469’856</w:t>
            </w:r>
          </w:p>
        </w:tc>
        <w:tc>
          <w:tcPr>
            <w:tcW w:w="601" w:type="pct"/>
            <w:noWrap/>
          </w:tcPr>
          <w:p w14:paraId="7D74E7ED" w14:textId="37E17E08"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154’947</w:t>
            </w:r>
          </w:p>
        </w:tc>
        <w:tc>
          <w:tcPr>
            <w:tcW w:w="600" w:type="pct"/>
            <w:noWrap/>
          </w:tcPr>
          <w:p w14:paraId="08F259A6" w14:textId="6EFB6B21"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13’473</w:t>
            </w:r>
          </w:p>
        </w:tc>
        <w:tc>
          <w:tcPr>
            <w:tcW w:w="600" w:type="pct"/>
          </w:tcPr>
          <w:p w14:paraId="5465F42B" w14:textId="1A2FAB12"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1’054’102</w:t>
            </w:r>
          </w:p>
        </w:tc>
      </w:tr>
      <w:tr w:rsidR="00751DFF" w:rsidRPr="00A5344E" w14:paraId="4F312698" w14:textId="77777777" w:rsidTr="00876211">
        <w:trPr>
          <w:cnfStyle w:val="000000100000" w:firstRow="0" w:lastRow="0" w:firstColumn="0" w:lastColumn="0" w:oddVBand="0" w:evenVBand="0" w:oddHBand="1" w:evenHBand="0" w:firstRowFirstColumn="0" w:firstRowLastColumn="0" w:lastRowFirstColumn="0" w:lastRowLastColumn="0"/>
          <w:trHeight w:val="330"/>
        </w:trPr>
        <w:tc>
          <w:tcPr>
            <w:tcW w:w="1401" w:type="pct"/>
            <w:noWrap/>
          </w:tcPr>
          <w:p w14:paraId="65BAD949" w14:textId="37D12B60" w:rsidR="00751DFF" w:rsidRPr="00A5344E" w:rsidRDefault="00751DFF" w:rsidP="00751DFF">
            <w:pPr>
              <w:pStyle w:val="Tabellentext"/>
              <w:rPr>
                <w:rFonts w:asciiTheme="majorHAnsi" w:hAnsiTheme="majorHAnsi" w:cstheme="majorHAnsi"/>
                <w:b/>
                <w:bCs/>
                <w:lang w:eastAsia="de-CH"/>
              </w:rPr>
            </w:pPr>
            <w:r w:rsidRPr="00A5344E">
              <w:rPr>
                <w:rFonts w:asciiTheme="majorHAnsi" w:hAnsiTheme="majorHAnsi" w:cstheme="majorHAnsi"/>
              </w:rPr>
              <w:t>Mehrbelastung pro Einwohner</w:t>
            </w:r>
          </w:p>
        </w:tc>
        <w:tc>
          <w:tcPr>
            <w:tcW w:w="599" w:type="pct"/>
            <w:noWrap/>
          </w:tcPr>
          <w:p w14:paraId="4C2EA654" w14:textId="32E96D4D"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202</w:t>
            </w:r>
          </w:p>
        </w:tc>
        <w:tc>
          <w:tcPr>
            <w:tcW w:w="600" w:type="pct"/>
            <w:noWrap/>
          </w:tcPr>
          <w:p w14:paraId="34AFB211" w14:textId="6D30C46C"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64</w:t>
            </w:r>
          </w:p>
        </w:tc>
        <w:tc>
          <w:tcPr>
            <w:tcW w:w="600" w:type="pct"/>
            <w:noWrap/>
          </w:tcPr>
          <w:p w14:paraId="534F0FF0" w14:textId="65A18585"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31</w:t>
            </w:r>
          </w:p>
        </w:tc>
        <w:tc>
          <w:tcPr>
            <w:tcW w:w="601" w:type="pct"/>
            <w:noWrap/>
          </w:tcPr>
          <w:p w14:paraId="1B235B42" w14:textId="538EA98E"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20</w:t>
            </w:r>
          </w:p>
        </w:tc>
        <w:tc>
          <w:tcPr>
            <w:tcW w:w="600" w:type="pct"/>
            <w:noWrap/>
          </w:tcPr>
          <w:p w14:paraId="3670AA20" w14:textId="4D9B1578" w:rsidR="00751DFF" w:rsidRPr="00A5344E" w:rsidRDefault="00751DFF" w:rsidP="00751DFF">
            <w:pPr>
              <w:pStyle w:val="Tabellentext"/>
              <w:jc w:val="right"/>
              <w:rPr>
                <w:rFonts w:asciiTheme="majorHAnsi" w:hAnsiTheme="majorHAnsi" w:cstheme="majorHAnsi"/>
                <w:lang w:eastAsia="de-CH"/>
              </w:rPr>
            </w:pPr>
            <w:r w:rsidRPr="00A5344E">
              <w:rPr>
                <w:rFonts w:asciiTheme="majorHAnsi" w:hAnsiTheme="majorHAnsi" w:cstheme="majorHAnsi"/>
              </w:rPr>
              <w:t>30</w:t>
            </w:r>
          </w:p>
        </w:tc>
        <w:tc>
          <w:tcPr>
            <w:tcW w:w="600" w:type="pct"/>
          </w:tcPr>
          <w:p w14:paraId="1B3B5B7A" w14:textId="1F19DE48" w:rsidR="00751DFF" w:rsidRPr="00A5344E" w:rsidRDefault="00751DFF" w:rsidP="00751DFF">
            <w:pPr>
              <w:pStyle w:val="Tabellentext"/>
              <w:jc w:val="right"/>
              <w:rPr>
                <w:rFonts w:asciiTheme="majorHAnsi" w:hAnsiTheme="majorHAnsi" w:cstheme="majorHAnsi"/>
              </w:rPr>
            </w:pPr>
            <w:r w:rsidRPr="00A5344E">
              <w:rPr>
                <w:rFonts w:asciiTheme="majorHAnsi" w:hAnsiTheme="majorHAnsi" w:cstheme="majorHAnsi"/>
              </w:rPr>
              <w:t>50</w:t>
            </w:r>
          </w:p>
        </w:tc>
      </w:tr>
    </w:tbl>
    <w:p w14:paraId="148829A2" w14:textId="2E71142E" w:rsidR="004E4BBE" w:rsidRPr="00A5344E" w:rsidRDefault="004E4BBE" w:rsidP="004E4BBE">
      <w:pPr>
        <w:rPr>
          <w:rFonts w:asciiTheme="majorHAnsi" w:hAnsiTheme="majorHAnsi" w:cstheme="majorHAnsi"/>
        </w:rPr>
      </w:pPr>
    </w:p>
    <w:p w14:paraId="16F0D204" w14:textId="44F68BCA" w:rsidR="004E4BBE" w:rsidRPr="00A5344E" w:rsidRDefault="004E4BBE" w:rsidP="004E4BBE">
      <w:pPr>
        <w:pStyle w:val="berschrift2nummeriert"/>
        <w:rPr>
          <w:rFonts w:cstheme="majorHAnsi"/>
        </w:rPr>
      </w:pPr>
      <w:bookmarkStart w:id="40" w:name="_Ref185250267"/>
      <w:bookmarkStart w:id="41" w:name="_Toc191888249"/>
      <w:r w:rsidRPr="00A5344E">
        <w:rPr>
          <w:rFonts w:cstheme="majorHAnsi"/>
        </w:rPr>
        <w:t>Fazit</w:t>
      </w:r>
      <w:bookmarkEnd w:id="40"/>
      <w:bookmarkEnd w:id="41"/>
    </w:p>
    <w:p w14:paraId="6318ABA2" w14:textId="2B68B3A4" w:rsidR="004E4BBE" w:rsidRPr="00A5344E" w:rsidRDefault="00827FD3" w:rsidP="00827FD3">
      <w:pPr>
        <w:rPr>
          <w:rFonts w:asciiTheme="majorHAnsi" w:hAnsiTheme="majorHAnsi" w:cstheme="majorHAnsi"/>
          <w:highlight w:val="yellow"/>
        </w:rPr>
      </w:pPr>
      <w:r w:rsidRPr="00A5344E">
        <w:rPr>
          <w:rFonts w:asciiTheme="majorHAnsi" w:hAnsiTheme="majorHAnsi" w:cstheme="majorHAnsi"/>
        </w:rPr>
        <w:t xml:space="preserve">Die Analyse des FILAG für den Zeitraum </w:t>
      </w:r>
      <w:r w:rsidRPr="00E51616">
        <w:rPr>
          <w:rFonts w:asciiTheme="majorHAnsi" w:hAnsiTheme="majorHAnsi" w:cstheme="majorHAnsi"/>
        </w:rPr>
        <w:t xml:space="preserve">2019 bis 2023 </w:t>
      </w:r>
      <w:r w:rsidRPr="00A5344E">
        <w:rPr>
          <w:rFonts w:asciiTheme="majorHAnsi" w:hAnsiTheme="majorHAnsi" w:cstheme="majorHAnsi"/>
        </w:rPr>
        <w:t>zeigt auf, dass der Kostenanstieg bei den Lastenausgleichssystemen bei allen Gemeinden Mehrbelastungen zur Folge hatte. Die finanzstarken Gemeinden waren von diesen Mehrbelastungen – in Steueranlagezehnteln gemessen – weniger stark betroffen. Mit den verschiedenen Instrumenten des Finanzausgleichs konnte die Mehrbelastung zum Teil abgefedert werden, und zwar am stärksten bei den finanzschwächeren Gemeinden.</w:t>
      </w:r>
    </w:p>
    <w:p w14:paraId="10E465BD" w14:textId="53713793" w:rsidR="004E4BBE" w:rsidRPr="00A5344E" w:rsidRDefault="004E4BBE" w:rsidP="004E4BBE">
      <w:pPr>
        <w:pStyle w:val="berschrift2nummeriert"/>
        <w:rPr>
          <w:rFonts w:cstheme="majorHAnsi"/>
        </w:rPr>
      </w:pPr>
      <w:bookmarkStart w:id="42" w:name="_Ref185250193"/>
      <w:bookmarkStart w:id="43" w:name="_Toc191888250"/>
      <w:r w:rsidRPr="00A5344E">
        <w:rPr>
          <w:rFonts w:cstheme="majorHAnsi"/>
        </w:rPr>
        <w:t>Entwicklung Steueranlagen Gemeinden</w:t>
      </w:r>
      <w:bookmarkEnd w:id="42"/>
      <w:bookmarkEnd w:id="43"/>
    </w:p>
    <w:p w14:paraId="7DF37344" w14:textId="7192AC37" w:rsidR="000B5F99" w:rsidRPr="00A5344E" w:rsidRDefault="00876211" w:rsidP="00876211">
      <w:pPr>
        <w:rPr>
          <w:rFonts w:asciiTheme="majorHAnsi" w:hAnsiTheme="majorHAnsi" w:cstheme="majorHAnsi"/>
        </w:rPr>
      </w:pPr>
      <w:r w:rsidRPr="00A5344E">
        <w:rPr>
          <w:rFonts w:asciiTheme="majorHAnsi" w:hAnsiTheme="majorHAnsi" w:cstheme="majorHAnsi"/>
        </w:rPr>
        <w:t>Im Vergleich zum Vorjahr gab es i</w:t>
      </w:r>
      <w:r w:rsidR="000B5F99" w:rsidRPr="00A5344E">
        <w:rPr>
          <w:rFonts w:asciiTheme="majorHAnsi" w:hAnsiTheme="majorHAnsi" w:cstheme="majorHAnsi"/>
        </w:rPr>
        <w:t xml:space="preserve">m Jahr </w:t>
      </w:r>
      <w:r w:rsidR="00E2506F" w:rsidRPr="00E51616">
        <w:rPr>
          <w:rFonts w:asciiTheme="majorHAnsi" w:hAnsiTheme="majorHAnsi" w:cstheme="majorHAnsi"/>
        </w:rPr>
        <w:t>202</w:t>
      </w:r>
      <w:r w:rsidRPr="00E51616">
        <w:rPr>
          <w:rFonts w:asciiTheme="majorHAnsi" w:hAnsiTheme="majorHAnsi" w:cstheme="majorHAnsi"/>
        </w:rPr>
        <w:t>3</w:t>
      </w:r>
      <w:r w:rsidR="000B5F99" w:rsidRPr="00A5344E">
        <w:rPr>
          <w:rFonts w:asciiTheme="majorHAnsi" w:hAnsiTheme="majorHAnsi" w:cstheme="majorHAnsi"/>
        </w:rPr>
        <w:t xml:space="preserve"> </w:t>
      </w:r>
      <w:r w:rsidRPr="00A5344E">
        <w:rPr>
          <w:rFonts w:asciiTheme="majorHAnsi" w:hAnsiTheme="majorHAnsi" w:cstheme="majorHAnsi"/>
        </w:rPr>
        <w:t xml:space="preserve">insgesamt </w:t>
      </w:r>
      <w:r w:rsidR="000B5F99" w:rsidRPr="00A5344E">
        <w:rPr>
          <w:rFonts w:asciiTheme="majorHAnsi" w:hAnsiTheme="majorHAnsi" w:cstheme="majorHAnsi"/>
        </w:rPr>
        <w:t>mehr Gemeinden mit Steueranlagesenkungen</w:t>
      </w:r>
      <w:r w:rsidRPr="00A5344E">
        <w:rPr>
          <w:rFonts w:asciiTheme="majorHAnsi" w:hAnsiTheme="majorHAnsi" w:cstheme="majorHAnsi"/>
        </w:rPr>
        <w:t xml:space="preserve"> (2</w:t>
      </w:r>
      <w:r w:rsidR="005646C3" w:rsidRPr="00A5344E">
        <w:rPr>
          <w:rFonts w:asciiTheme="majorHAnsi" w:hAnsiTheme="majorHAnsi" w:cstheme="majorHAnsi"/>
        </w:rPr>
        <w:t>0</w:t>
      </w:r>
      <w:r w:rsidR="00444127" w:rsidRPr="00A5344E">
        <w:rPr>
          <w:rFonts w:asciiTheme="majorHAnsi" w:hAnsiTheme="majorHAnsi" w:cstheme="majorHAnsi"/>
        </w:rPr>
        <w:t xml:space="preserve"> </w:t>
      </w:r>
      <w:r w:rsidRPr="00A5344E">
        <w:rPr>
          <w:rFonts w:asciiTheme="majorHAnsi" w:hAnsiTheme="majorHAnsi" w:cstheme="majorHAnsi"/>
        </w:rPr>
        <w:t>Gemeinden)</w:t>
      </w:r>
      <w:r w:rsidR="000B5F99" w:rsidRPr="00A5344E">
        <w:rPr>
          <w:rFonts w:asciiTheme="majorHAnsi" w:hAnsiTheme="majorHAnsi" w:cstheme="majorHAnsi"/>
        </w:rPr>
        <w:t xml:space="preserve"> als solche mit Steueranlageerhöhungen</w:t>
      </w:r>
      <w:r w:rsidRPr="00A5344E">
        <w:rPr>
          <w:rFonts w:asciiTheme="majorHAnsi" w:hAnsiTheme="majorHAnsi" w:cstheme="majorHAnsi"/>
        </w:rPr>
        <w:t xml:space="preserve"> (14 Gemeinden)</w:t>
      </w:r>
      <w:r w:rsidR="000B5F99" w:rsidRPr="00A5344E">
        <w:rPr>
          <w:rFonts w:asciiTheme="majorHAnsi" w:hAnsiTheme="majorHAnsi" w:cstheme="majorHAnsi"/>
        </w:rPr>
        <w:t xml:space="preserve">. </w:t>
      </w:r>
    </w:p>
    <w:p w14:paraId="5E5A1720" w14:textId="77777777" w:rsidR="000B5F99" w:rsidRPr="00A5344E" w:rsidRDefault="000B5F99" w:rsidP="000B5F99">
      <w:pPr>
        <w:rPr>
          <w:rFonts w:asciiTheme="majorHAnsi" w:hAnsiTheme="majorHAnsi" w:cstheme="majorHAnsi"/>
        </w:rPr>
      </w:pPr>
    </w:p>
    <w:p w14:paraId="42DC00F2" w14:textId="2EE74FBB" w:rsidR="000B5F99" w:rsidRPr="00A5344E" w:rsidRDefault="000B5F99" w:rsidP="000B5F99">
      <w:pPr>
        <w:rPr>
          <w:rFonts w:asciiTheme="majorHAnsi" w:hAnsiTheme="majorHAnsi" w:cstheme="majorHAnsi"/>
        </w:rPr>
      </w:pPr>
      <w:r w:rsidRPr="00A5344E">
        <w:rPr>
          <w:rFonts w:asciiTheme="majorHAnsi" w:hAnsiTheme="majorHAnsi" w:cstheme="majorHAnsi"/>
        </w:rPr>
        <w:t xml:space="preserve">Die finanziellen Auswirkungen aus den Veränderungen der Steueranlagen </w:t>
      </w:r>
      <w:r w:rsidR="00E2506F" w:rsidRPr="00E51616">
        <w:rPr>
          <w:rFonts w:asciiTheme="majorHAnsi" w:hAnsiTheme="majorHAnsi" w:cstheme="majorHAnsi"/>
        </w:rPr>
        <w:t>202</w:t>
      </w:r>
      <w:r w:rsidR="00876211" w:rsidRPr="00E51616">
        <w:rPr>
          <w:rFonts w:asciiTheme="majorHAnsi" w:hAnsiTheme="majorHAnsi" w:cstheme="majorHAnsi"/>
        </w:rPr>
        <w:t>3</w:t>
      </w:r>
      <w:r w:rsidRPr="00E51616">
        <w:rPr>
          <w:rFonts w:asciiTheme="majorHAnsi" w:hAnsiTheme="majorHAnsi" w:cstheme="majorHAnsi"/>
        </w:rPr>
        <w:t xml:space="preserve"> im Vergleich zum Jahr </w:t>
      </w:r>
      <w:r w:rsidR="00E2506F" w:rsidRPr="00E51616">
        <w:rPr>
          <w:rFonts w:asciiTheme="majorHAnsi" w:hAnsiTheme="majorHAnsi" w:cstheme="majorHAnsi"/>
        </w:rPr>
        <w:t>202</w:t>
      </w:r>
      <w:r w:rsidR="00876211" w:rsidRPr="00E51616">
        <w:rPr>
          <w:rFonts w:asciiTheme="majorHAnsi" w:hAnsiTheme="majorHAnsi" w:cstheme="majorHAnsi"/>
        </w:rPr>
        <w:t>2</w:t>
      </w:r>
      <w:r w:rsidRPr="00A5344E">
        <w:rPr>
          <w:rFonts w:asciiTheme="majorHAnsi" w:hAnsiTheme="majorHAnsi" w:cstheme="majorHAnsi"/>
        </w:rPr>
        <w:t xml:space="preserve"> können wie folgt zusammengefasst werden:</w:t>
      </w:r>
    </w:p>
    <w:p w14:paraId="0D1D1F2E" w14:textId="6CFEDD8C" w:rsidR="000B5F99" w:rsidRPr="00A5344E" w:rsidRDefault="00876211" w:rsidP="000B5F99">
      <w:pPr>
        <w:pStyle w:val="Aufzhlungszeichen"/>
        <w:contextualSpacing w:val="0"/>
        <w:rPr>
          <w:rFonts w:asciiTheme="majorHAnsi" w:hAnsiTheme="majorHAnsi" w:cstheme="majorHAnsi"/>
        </w:rPr>
      </w:pPr>
      <w:r w:rsidRPr="00A5344E">
        <w:rPr>
          <w:rFonts w:asciiTheme="majorHAnsi" w:hAnsiTheme="majorHAnsi" w:cstheme="majorHAnsi"/>
        </w:rPr>
        <w:lastRenderedPageBreak/>
        <w:t>14</w:t>
      </w:r>
      <w:r w:rsidR="000B5F99" w:rsidRPr="00A5344E">
        <w:rPr>
          <w:rFonts w:asciiTheme="majorHAnsi" w:hAnsiTheme="majorHAnsi" w:cstheme="majorHAnsi"/>
        </w:rPr>
        <w:t xml:space="preserve"> Gemeinden haben die Steueranlage für das Jahr </w:t>
      </w:r>
      <w:r w:rsidR="00E2506F" w:rsidRPr="00E51616">
        <w:rPr>
          <w:rFonts w:asciiTheme="majorHAnsi" w:hAnsiTheme="majorHAnsi" w:cstheme="majorHAnsi"/>
        </w:rPr>
        <w:t>202</w:t>
      </w:r>
      <w:r w:rsidRPr="00E51616">
        <w:rPr>
          <w:rFonts w:asciiTheme="majorHAnsi" w:hAnsiTheme="majorHAnsi" w:cstheme="majorHAnsi"/>
        </w:rPr>
        <w:t>3</w:t>
      </w:r>
      <w:r w:rsidR="000B5F99" w:rsidRPr="00A5344E">
        <w:rPr>
          <w:rFonts w:asciiTheme="majorHAnsi" w:hAnsiTheme="majorHAnsi" w:cstheme="majorHAnsi"/>
        </w:rPr>
        <w:t xml:space="preserve"> erhöht, wovon bei </w:t>
      </w:r>
      <w:r w:rsidR="005646C3" w:rsidRPr="00A5344E">
        <w:rPr>
          <w:rFonts w:asciiTheme="majorHAnsi" w:hAnsiTheme="majorHAnsi" w:cstheme="majorHAnsi"/>
        </w:rPr>
        <w:t>drei</w:t>
      </w:r>
      <w:r w:rsidR="000B5F99" w:rsidRPr="00A5344E">
        <w:rPr>
          <w:rFonts w:asciiTheme="majorHAnsi" w:hAnsiTheme="majorHAnsi" w:cstheme="majorHAnsi"/>
        </w:rPr>
        <w:t xml:space="preserve"> Gemeinden mit insgesamt rund </w:t>
      </w:r>
      <w:r w:rsidR="005646C3" w:rsidRPr="00A5344E">
        <w:rPr>
          <w:rFonts w:asciiTheme="majorHAnsi" w:hAnsiTheme="majorHAnsi" w:cstheme="majorHAnsi"/>
        </w:rPr>
        <w:t>2’800</w:t>
      </w:r>
      <w:r w:rsidR="000B5F99" w:rsidRPr="00A5344E">
        <w:rPr>
          <w:rFonts w:asciiTheme="majorHAnsi" w:hAnsiTheme="majorHAnsi" w:cstheme="majorHAnsi"/>
        </w:rPr>
        <w:t xml:space="preserve"> Einwohnerinnen und Einwohnern die Steuererhöhung mehr als </w:t>
      </w:r>
      <w:r w:rsidR="005646C3" w:rsidRPr="00A5344E">
        <w:rPr>
          <w:rFonts w:asciiTheme="majorHAnsi" w:hAnsiTheme="majorHAnsi" w:cstheme="majorHAnsi"/>
        </w:rPr>
        <w:t>0.1</w:t>
      </w:r>
      <w:r w:rsidR="000B5F99" w:rsidRPr="00A5344E">
        <w:rPr>
          <w:rFonts w:asciiTheme="majorHAnsi" w:hAnsiTheme="majorHAnsi" w:cstheme="majorHAnsi"/>
        </w:rPr>
        <w:t xml:space="preserve"> Steueranlagezehntel beträgt.</w:t>
      </w:r>
    </w:p>
    <w:p w14:paraId="47E14255" w14:textId="768605B3" w:rsidR="000B5F99" w:rsidRPr="00A5344E" w:rsidRDefault="005646C3" w:rsidP="000B5F99">
      <w:pPr>
        <w:pStyle w:val="Aufzhlungszeichen"/>
        <w:contextualSpacing w:val="0"/>
        <w:rPr>
          <w:rFonts w:asciiTheme="majorHAnsi" w:hAnsiTheme="majorHAnsi" w:cstheme="majorHAnsi"/>
        </w:rPr>
      </w:pPr>
      <w:r w:rsidRPr="00A5344E">
        <w:rPr>
          <w:rFonts w:asciiTheme="majorHAnsi" w:hAnsiTheme="majorHAnsi" w:cstheme="majorHAnsi"/>
        </w:rPr>
        <w:t>20</w:t>
      </w:r>
      <w:r w:rsidR="000B5F99" w:rsidRPr="00A5344E">
        <w:rPr>
          <w:rFonts w:asciiTheme="majorHAnsi" w:hAnsiTheme="majorHAnsi" w:cstheme="majorHAnsi"/>
        </w:rPr>
        <w:t xml:space="preserve"> Gemeinden haben die Steueranlage für das Jahr </w:t>
      </w:r>
      <w:r w:rsidR="006C797F" w:rsidRPr="00E51616">
        <w:rPr>
          <w:rFonts w:asciiTheme="majorHAnsi" w:hAnsiTheme="majorHAnsi" w:cstheme="majorHAnsi"/>
        </w:rPr>
        <w:t>202</w:t>
      </w:r>
      <w:r w:rsidRPr="00E51616">
        <w:rPr>
          <w:rFonts w:asciiTheme="majorHAnsi" w:hAnsiTheme="majorHAnsi" w:cstheme="majorHAnsi"/>
        </w:rPr>
        <w:t>3</w:t>
      </w:r>
      <w:r w:rsidR="000B5F99" w:rsidRPr="00A5344E">
        <w:rPr>
          <w:rFonts w:asciiTheme="majorHAnsi" w:hAnsiTheme="majorHAnsi" w:cstheme="majorHAnsi"/>
        </w:rPr>
        <w:t xml:space="preserve"> gesenkt, wovon bei </w:t>
      </w:r>
      <w:r w:rsidRPr="00A5344E">
        <w:rPr>
          <w:rFonts w:asciiTheme="majorHAnsi" w:hAnsiTheme="majorHAnsi" w:cstheme="majorHAnsi"/>
        </w:rPr>
        <w:t>4</w:t>
      </w:r>
      <w:r w:rsidR="000B5F99" w:rsidRPr="00A5344E">
        <w:rPr>
          <w:rFonts w:asciiTheme="majorHAnsi" w:hAnsiTheme="majorHAnsi" w:cstheme="majorHAnsi"/>
        </w:rPr>
        <w:t xml:space="preserve"> Gemeinden mit rund </w:t>
      </w:r>
      <w:r w:rsidRPr="00A5344E">
        <w:rPr>
          <w:rFonts w:asciiTheme="majorHAnsi" w:hAnsiTheme="majorHAnsi" w:cstheme="majorHAnsi"/>
        </w:rPr>
        <w:t>14’400</w:t>
      </w:r>
      <w:r w:rsidR="000B5F99" w:rsidRPr="00A5344E">
        <w:rPr>
          <w:rFonts w:asciiTheme="majorHAnsi" w:hAnsiTheme="majorHAnsi" w:cstheme="majorHAnsi"/>
        </w:rPr>
        <w:t xml:space="preserve"> Einwohnerinnen und Einwohnern die Steuersenkung mehr als </w:t>
      </w:r>
      <w:r w:rsidRPr="00A5344E">
        <w:rPr>
          <w:rFonts w:asciiTheme="majorHAnsi" w:hAnsiTheme="majorHAnsi" w:cstheme="majorHAnsi"/>
        </w:rPr>
        <w:t>0.1</w:t>
      </w:r>
      <w:r w:rsidR="000B5F99" w:rsidRPr="00A5344E">
        <w:rPr>
          <w:rFonts w:asciiTheme="majorHAnsi" w:hAnsiTheme="majorHAnsi" w:cstheme="majorHAnsi"/>
        </w:rPr>
        <w:t xml:space="preserve"> Steueranlagezehntel beträgt.</w:t>
      </w:r>
    </w:p>
    <w:p w14:paraId="3AA23C47" w14:textId="136C6506" w:rsidR="000B5F99" w:rsidRPr="00A5344E" w:rsidRDefault="005646C3" w:rsidP="000B5F99">
      <w:pPr>
        <w:pStyle w:val="Aufzhlungszeichen"/>
        <w:contextualSpacing w:val="0"/>
        <w:rPr>
          <w:rFonts w:asciiTheme="majorHAnsi" w:hAnsiTheme="majorHAnsi" w:cstheme="majorHAnsi"/>
        </w:rPr>
      </w:pPr>
      <w:r w:rsidRPr="00A5344E">
        <w:rPr>
          <w:rFonts w:asciiTheme="majorHAnsi" w:hAnsiTheme="majorHAnsi" w:cstheme="majorHAnsi"/>
        </w:rPr>
        <w:t>Im Vergleich zu</w:t>
      </w:r>
      <w:r w:rsidR="00582C4B">
        <w:rPr>
          <w:rFonts w:asciiTheme="majorHAnsi" w:hAnsiTheme="majorHAnsi" w:cstheme="majorHAnsi"/>
        </w:rPr>
        <w:t>m Jahr</w:t>
      </w:r>
      <w:r w:rsidRPr="00A5344E">
        <w:rPr>
          <w:rFonts w:asciiTheme="majorHAnsi" w:hAnsiTheme="majorHAnsi" w:cstheme="majorHAnsi"/>
        </w:rPr>
        <w:t xml:space="preserve"> </w:t>
      </w:r>
      <w:r w:rsidRPr="00E51616">
        <w:rPr>
          <w:rFonts w:asciiTheme="majorHAnsi" w:hAnsiTheme="majorHAnsi" w:cstheme="majorHAnsi"/>
        </w:rPr>
        <w:t>2019</w:t>
      </w:r>
      <w:r w:rsidRPr="00A5344E">
        <w:rPr>
          <w:rFonts w:asciiTheme="majorHAnsi" w:hAnsiTheme="majorHAnsi" w:cstheme="majorHAnsi"/>
        </w:rPr>
        <w:t xml:space="preserve"> beträgt d</w:t>
      </w:r>
      <w:r w:rsidR="000B5F99" w:rsidRPr="00A5344E">
        <w:rPr>
          <w:rFonts w:asciiTheme="majorHAnsi" w:hAnsiTheme="majorHAnsi" w:cstheme="majorHAnsi"/>
        </w:rPr>
        <w:t xml:space="preserve">ie Belastung der Steuerzahlenden bei den Gemeindesteuern per Saldo insgesamt rund CHF </w:t>
      </w:r>
      <w:r w:rsidR="00A86A14" w:rsidRPr="00A5344E">
        <w:rPr>
          <w:rFonts w:asciiTheme="majorHAnsi" w:hAnsiTheme="majorHAnsi" w:cstheme="majorHAnsi"/>
        </w:rPr>
        <w:t>50 pro Kopf.</w:t>
      </w:r>
    </w:p>
    <w:p w14:paraId="6DD0A0CC" w14:textId="7CADC85A" w:rsidR="000B5F99" w:rsidRPr="00A5344E" w:rsidRDefault="009C2190" w:rsidP="000B5F99">
      <w:pPr>
        <w:rPr>
          <w:rFonts w:asciiTheme="majorHAnsi" w:hAnsiTheme="majorHAnsi" w:cstheme="majorHAnsi"/>
        </w:rPr>
      </w:pPr>
      <w:r w:rsidRPr="00A5344E">
        <w:rPr>
          <w:rFonts w:asciiTheme="majorHAnsi" w:hAnsiTheme="majorHAnsi" w:cstheme="majorHAnsi"/>
        </w:rPr>
        <w:fldChar w:fldCharType="begin"/>
      </w:r>
      <w:r w:rsidRPr="00A5344E">
        <w:rPr>
          <w:rFonts w:asciiTheme="majorHAnsi" w:hAnsiTheme="majorHAnsi" w:cstheme="majorHAnsi"/>
        </w:rPr>
        <w:instrText xml:space="preserve"> REF _Ref185251501 \h </w:instrText>
      </w:r>
      <w:r w:rsidR="00A36436" w:rsidRPr="00A5344E">
        <w:rPr>
          <w:rFonts w:asciiTheme="majorHAnsi" w:hAnsiTheme="majorHAnsi" w:cstheme="majorHAnsi"/>
        </w:rPr>
        <w:instrText xml:space="preserve"> \* MERGEFORMAT </w:instrText>
      </w:r>
      <w:r w:rsidRPr="00A5344E">
        <w:rPr>
          <w:rFonts w:asciiTheme="majorHAnsi" w:hAnsiTheme="majorHAnsi" w:cstheme="majorHAnsi"/>
        </w:rPr>
      </w:r>
      <w:r w:rsidRPr="00A5344E">
        <w:rPr>
          <w:rFonts w:asciiTheme="majorHAnsi" w:hAnsiTheme="majorHAnsi" w:cstheme="majorHAnsi"/>
        </w:rPr>
        <w:fldChar w:fldCharType="separate"/>
      </w:r>
      <w:r w:rsidR="00A513C6" w:rsidRPr="00A5344E">
        <w:rPr>
          <w:rFonts w:asciiTheme="majorHAnsi" w:hAnsiTheme="majorHAnsi" w:cstheme="majorHAnsi"/>
        </w:rPr>
        <w:t xml:space="preserve">Abbildung </w:t>
      </w:r>
      <w:r w:rsidR="00A513C6" w:rsidRPr="00A5344E">
        <w:rPr>
          <w:rFonts w:asciiTheme="majorHAnsi" w:hAnsiTheme="majorHAnsi" w:cstheme="majorHAnsi"/>
          <w:noProof/>
        </w:rPr>
        <w:t>9</w:t>
      </w:r>
      <w:r w:rsidRPr="00A5344E">
        <w:rPr>
          <w:rFonts w:asciiTheme="majorHAnsi" w:hAnsiTheme="majorHAnsi" w:cstheme="majorHAnsi"/>
        </w:rPr>
        <w:fldChar w:fldCharType="end"/>
      </w:r>
      <w:r w:rsidRPr="00A5344E">
        <w:rPr>
          <w:rFonts w:asciiTheme="majorHAnsi" w:hAnsiTheme="majorHAnsi" w:cstheme="majorHAnsi"/>
        </w:rPr>
        <w:t xml:space="preserve"> </w:t>
      </w:r>
      <w:r w:rsidR="000B5F99" w:rsidRPr="00A5344E">
        <w:rPr>
          <w:rFonts w:asciiTheme="majorHAnsi" w:hAnsiTheme="majorHAnsi" w:cstheme="majorHAnsi"/>
        </w:rPr>
        <w:t xml:space="preserve">zeigt die Entwicklung der Steueranlagen der Gemeinden in den Jahren </w:t>
      </w:r>
      <w:r w:rsidRPr="00E51616">
        <w:rPr>
          <w:rFonts w:asciiTheme="majorHAnsi" w:hAnsiTheme="majorHAnsi" w:cstheme="majorHAnsi"/>
        </w:rPr>
        <w:t>2020</w:t>
      </w:r>
      <w:r w:rsidR="000B5F99" w:rsidRPr="00E51616">
        <w:rPr>
          <w:rFonts w:asciiTheme="majorHAnsi" w:hAnsiTheme="majorHAnsi" w:cstheme="majorHAnsi"/>
        </w:rPr>
        <w:t xml:space="preserve"> bis </w:t>
      </w:r>
      <w:r w:rsidRPr="00E51616">
        <w:rPr>
          <w:rFonts w:asciiTheme="majorHAnsi" w:hAnsiTheme="majorHAnsi" w:cstheme="majorHAnsi"/>
        </w:rPr>
        <w:t>202</w:t>
      </w:r>
      <w:r w:rsidR="005646C3" w:rsidRPr="00E51616">
        <w:rPr>
          <w:rFonts w:asciiTheme="majorHAnsi" w:hAnsiTheme="majorHAnsi" w:cstheme="majorHAnsi"/>
        </w:rPr>
        <w:t>3</w:t>
      </w:r>
      <w:r w:rsidR="000B5F99" w:rsidRPr="00A5344E">
        <w:rPr>
          <w:rFonts w:asciiTheme="majorHAnsi" w:hAnsiTheme="majorHAnsi" w:cstheme="majorHAnsi"/>
        </w:rPr>
        <w:t xml:space="preserve"> (in fünf Kategorien). In diesem Beobachtungszeitraum kann eine leichte Tendenz zur Harmonisierung der Steueranlagen festgestellt werden. So ist beispielsweise die Anzahl der Gemeinden mit einer Steueranlage </w:t>
      </w:r>
      <w:r w:rsidRPr="00A5344E">
        <w:rPr>
          <w:rFonts w:asciiTheme="majorHAnsi" w:hAnsiTheme="majorHAnsi" w:cstheme="majorHAnsi"/>
        </w:rPr>
        <w:t>zwischen 1.8-1.99</w:t>
      </w:r>
      <w:r w:rsidR="000B5F99" w:rsidRPr="00A5344E">
        <w:rPr>
          <w:rFonts w:asciiTheme="majorHAnsi" w:hAnsiTheme="majorHAnsi" w:cstheme="majorHAnsi"/>
        </w:rPr>
        <w:t xml:space="preserve"> Einheiten gesunken. Im Jahr </w:t>
      </w:r>
      <w:r w:rsidRPr="00E51616">
        <w:rPr>
          <w:rFonts w:asciiTheme="majorHAnsi" w:hAnsiTheme="majorHAnsi" w:cstheme="majorHAnsi"/>
        </w:rPr>
        <w:t>202</w:t>
      </w:r>
      <w:r w:rsidR="005646C3" w:rsidRPr="00E51616">
        <w:rPr>
          <w:rFonts w:asciiTheme="majorHAnsi" w:hAnsiTheme="majorHAnsi" w:cstheme="majorHAnsi"/>
        </w:rPr>
        <w:t>3</w:t>
      </w:r>
      <w:r w:rsidR="000B5F99" w:rsidRPr="00A5344E">
        <w:rPr>
          <w:rFonts w:asciiTheme="majorHAnsi" w:hAnsiTheme="majorHAnsi" w:cstheme="majorHAnsi"/>
        </w:rPr>
        <w:t xml:space="preserve"> hatten </w:t>
      </w:r>
      <w:r w:rsidR="005646C3" w:rsidRPr="00A5344E">
        <w:rPr>
          <w:rFonts w:asciiTheme="majorHAnsi" w:hAnsiTheme="majorHAnsi" w:cstheme="majorHAnsi"/>
        </w:rPr>
        <w:t>1</w:t>
      </w:r>
      <w:r w:rsidR="00827FD3" w:rsidRPr="00A5344E">
        <w:rPr>
          <w:rFonts w:asciiTheme="majorHAnsi" w:hAnsiTheme="majorHAnsi" w:cstheme="majorHAnsi"/>
        </w:rPr>
        <w:t>,</w:t>
      </w:r>
      <w:r w:rsidR="005646C3" w:rsidRPr="00A5344E">
        <w:rPr>
          <w:rFonts w:asciiTheme="majorHAnsi" w:hAnsiTheme="majorHAnsi" w:cstheme="majorHAnsi"/>
        </w:rPr>
        <w:t>3</w:t>
      </w:r>
      <w:r w:rsidR="000B5F99" w:rsidRPr="00A5344E">
        <w:rPr>
          <w:rFonts w:asciiTheme="majorHAnsi" w:hAnsiTheme="majorHAnsi" w:cstheme="majorHAnsi"/>
        </w:rPr>
        <w:t xml:space="preserve"> Prozent der Wohnbevölkerung (</w:t>
      </w:r>
      <w:r w:rsidR="005646C3" w:rsidRPr="00A5344E">
        <w:rPr>
          <w:rFonts w:asciiTheme="majorHAnsi" w:hAnsiTheme="majorHAnsi" w:cstheme="majorHAnsi"/>
        </w:rPr>
        <w:t xml:space="preserve">13’473 </w:t>
      </w:r>
      <w:r w:rsidR="000B5F99" w:rsidRPr="00A5344E">
        <w:rPr>
          <w:rFonts w:asciiTheme="majorHAnsi" w:hAnsiTheme="majorHAnsi" w:cstheme="majorHAnsi"/>
        </w:rPr>
        <w:t>Personen) eine Steueranlage von 2.00 Einheiten und höher.</w:t>
      </w:r>
    </w:p>
    <w:p w14:paraId="38B46572" w14:textId="668996D1" w:rsidR="001E0DF4" w:rsidRPr="00A5344E" w:rsidRDefault="001E0DF4" w:rsidP="00036B8D">
      <w:pPr>
        <w:pStyle w:val="Beschriftung"/>
        <w:keepNext/>
        <w:ind w:left="1410" w:hanging="1410"/>
        <w:rPr>
          <w:rFonts w:asciiTheme="majorHAnsi" w:hAnsiTheme="majorHAnsi" w:cstheme="majorHAnsi"/>
          <w:b/>
          <w:bCs w:val="0"/>
        </w:rPr>
      </w:pPr>
      <w:bookmarkStart w:id="44" w:name="_Ref185251501"/>
      <w:r w:rsidRPr="00A5344E">
        <w:rPr>
          <w:rFonts w:asciiTheme="majorHAnsi" w:hAnsiTheme="majorHAnsi" w:cstheme="majorHAnsi"/>
          <w:b/>
          <w:bCs w:val="0"/>
        </w:rPr>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9</w:t>
      </w:r>
      <w:r w:rsidR="007732EE" w:rsidRPr="00A5344E">
        <w:rPr>
          <w:rFonts w:asciiTheme="majorHAnsi" w:hAnsiTheme="majorHAnsi" w:cstheme="majorHAnsi"/>
          <w:b/>
          <w:bCs w:val="0"/>
        </w:rPr>
        <w:fldChar w:fldCharType="end"/>
      </w:r>
      <w:bookmarkEnd w:id="44"/>
      <w:r w:rsidRPr="00A5344E">
        <w:rPr>
          <w:rFonts w:asciiTheme="majorHAnsi" w:hAnsiTheme="majorHAnsi" w:cstheme="majorHAnsi"/>
          <w:b/>
          <w:bCs w:val="0"/>
        </w:rPr>
        <w:t>:</w:t>
      </w:r>
      <w:r w:rsidRPr="00A5344E">
        <w:rPr>
          <w:rFonts w:asciiTheme="majorHAnsi" w:hAnsiTheme="majorHAnsi" w:cstheme="majorHAnsi"/>
          <w:b/>
          <w:bCs w:val="0"/>
        </w:rPr>
        <w:tab/>
        <w:t>Entwicklung der Gemeindesteueranlagen in den Jahren 2020-202</w:t>
      </w:r>
      <w:r w:rsidR="00B81B58" w:rsidRPr="00A5344E">
        <w:rPr>
          <w:rFonts w:asciiTheme="majorHAnsi" w:hAnsiTheme="majorHAnsi" w:cstheme="majorHAnsi"/>
          <w:b/>
          <w:bCs w:val="0"/>
        </w:rPr>
        <w:t>3</w:t>
      </w:r>
      <w:r w:rsidR="00036B8D" w:rsidRPr="00A5344E">
        <w:rPr>
          <w:rFonts w:asciiTheme="majorHAnsi" w:hAnsiTheme="majorHAnsi" w:cstheme="majorHAnsi"/>
          <w:b/>
          <w:bCs w:val="0"/>
        </w:rPr>
        <w:br/>
      </w:r>
      <w:r w:rsidRPr="00A5344E">
        <w:rPr>
          <w:rFonts w:asciiTheme="majorHAnsi" w:hAnsiTheme="majorHAnsi" w:cstheme="majorHAnsi"/>
          <w:b/>
          <w:bCs w:val="0"/>
        </w:rPr>
        <w:t>(Anzahl Gemeinden, nicht gewichtet)</w:t>
      </w:r>
    </w:p>
    <w:p w14:paraId="20EA79C3" w14:textId="05409A08" w:rsidR="001E0DF4" w:rsidRPr="00A5344E" w:rsidRDefault="005646C3" w:rsidP="000B5F99">
      <w:pPr>
        <w:rPr>
          <w:rFonts w:asciiTheme="majorHAnsi" w:hAnsiTheme="majorHAnsi" w:cstheme="majorHAnsi"/>
          <w:highlight w:val="yellow"/>
        </w:rPr>
      </w:pPr>
      <w:r w:rsidRPr="00A5344E">
        <w:rPr>
          <w:rFonts w:asciiTheme="majorHAnsi" w:hAnsiTheme="majorHAnsi" w:cstheme="majorHAnsi"/>
          <w:noProof/>
        </w:rPr>
        <w:drawing>
          <wp:inline distT="0" distB="0" distL="0" distR="0" wp14:anchorId="6FBBC44D" wp14:editId="0FB09B40">
            <wp:extent cx="5264150" cy="2905760"/>
            <wp:effectExtent l="0" t="0" r="0" b="8890"/>
            <wp:docPr id="3164003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4150" cy="2905760"/>
                    </a:xfrm>
                    <a:prstGeom prst="rect">
                      <a:avLst/>
                    </a:prstGeom>
                    <a:noFill/>
                    <a:ln>
                      <a:noFill/>
                    </a:ln>
                  </pic:spPr>
                </pic:pic>
              </a:graphicData>
            </a:graphic>
          </wp:inline>
        </w:drawing>
      </w:r>
    </w:p>
    <w:p w14:paraId="689C3FB8" w14:textId="77777777" w:rsidR="001E0DF4" w:rsidRPr="00A5344E" w:rsidRDefault="001E0DF4" w:rsidP="000B5F99">
      <w:pPr>
        <w:rPr>
          <w:rFonts w:asciiTheme="majorHAnsi" w:hAnsiTheme="majorHAnsi" w:cstheme="majorHAnsi"/>
          <w:highlight w:val="yellow"/>
        </w:rPr>
      </w:pPr>
    </w:p>
    <w:p w14:paraId="5474C0B4" w14:textId="14687DD1" w:rsidR="001E0DF4" w:rsidRPr="00A5344E" w:rsidRDefault="001E0DF4" w:rsidP="001E0DF4">
      <w:pPr>
        <w:pStyle w:val="berschrift2nummeriert"/>
        <w:rPr>
          <w:rFonts w:cstheme="majorHAnsi"/>
        </w:rPr>
      </w:pPr>
      <w:bookmarkStart w:id="45" w:name="_Ref185250197"/>
      <w:bookmarkStart w:id="46" w:name="_Toc191888251"/>
      <w:r w:rsidRPr="00A5344E">
        <w:rPr>
          <w:rFonts w:cstheme="majorHAnsi"/>
        </w:rPr>
        <w:t>Entwicklung Steuereinnahmen der Gemeinden</w:t>
      </w:r>
      <w:bookmarkEnd w:id="45"/>
      <w:bookmarkEnd w:id="46"/>
    </w:p>
    <w:p w14:paraId="60A2AFCB" w14:textId="3080AF3D" w:rsidR="009C2190" w:rsidRPr="00A5344E" w:rsidRDefault="001E0DF4" w:rsidP="001E0DF4">
      <w:pPr>
        <w:rPr>
          <w:rFonts w:asciiTheme="majorHAnsi" w:hAnsiTheme="majorHAnsi" w:cstheme="majorHAnsi"/>
        </w:rPr>
      </w:pPr>
      <w:r w:rsidRPr="00A5344E">
        <w:rPr>
          <w:rFonts w:asciiTheme="majorHAnsi" w:hAnsiTheme="majorHAnsi" w:cstheme="majorHAnsi"/>
        </w:rPr>
        <w:t xml:space="preserve">In den Jahren </w:t>
      </w:r>
      <w:r w:rsidR="009C2190" w:rsidRPr="00A5344E">
        <w:rPr>
          <w:rFonts w:asciiTheme="majorHAnsi" w:hAnsiTheme="majorHAnsi" w:cstheme="majorHAnsi"/>
        </w:rPr>
        <w:t>20</w:t>
      </w:r>
      <w:r w:rsidR="00751DFF" w:rsidRPr="00A5344E">
        <w:rPr>
          <w:rFonts w:asciiTheme="majorHAnsi" w:hAnsiTheme="majorHAnsi" w:cstheme="majorHAnsi"/>
        </w:rPr>
        <w:t>19</w:t>
      </w:r>
      <w:r w:rsidRPr="00A5344E">
        <w:rPr>
          <w:rFonts w:asciiTheme="majorHAnsi" w:hAnsiTheme="majorHAnsi" w:cstheme="majorHAnsi"/>
        </w:rPr>
        <w:t xml:space="preserve"> bis </w:t>
      </w:r>
      <w:r w:rsidR="009C2190" w:rsidRPr="00A5344E">
        <w:rPr>
          <w:rFonts w:asciiTheme="majorHAnsi" w:hAnsiTheme="majorHAnsi" w:cstheme="majorHAnsi"/>
        </w:rPr>
        <w:t>20</w:t>
      </w:r>
      <w:r w:rsidR="00751DFF" w:rsidRPr="00A5344E">
        <w:rPr>
          <w:rFonts w:asciiTheme="majorHAnsi" w:hAnsiTheme="majorHAnsi" w:cstheme="majorHAnsi"/>
        </w:rPr>
        <w:t>23</w:t>
      </w:r>
      <w:r w:rsidRPr="00A5344E">
        <w:rPr>
          <w:rFonts w:asciiTheme="majorHAnsi" w:hAnsiTheme="majorHAnsi" w:cstheme="majorHAnsi"/>
        </w:rPr>
        <w:t xml:space="preserve"> sind die Steuereinnahmen von CHF </w:t>
      </w:r>
      <w:r w:rsidR="009C2190" w:rsidRPr="00A5344E">
        <w:rPr>
          <w:rFonts w:asciiTheme="majorHAnsi" w:hAnsiTheme="majorHAnsi" w:cstheme="majorHAnsi"/>
        </w:rPr>
        <w:t>2’4</w:t>
      </w:r>
      <w:r w:rsidR="00751DFF" w:rsidRPr="00A5344E">
        <w:rPr>
          <w:rFonts w:asciiTheme="majorHAnsi" w:hAnsiTheme="majorHAnsi" w:cstheme="majorHAnsi"/>
        </w:rPr>
        <w:t>87</w:t>
      </w:r>
      <w:r w:rsidRPr="00A5344E">
        <w:rPr>
          <w:rFonts w:asciiTheme="majorHAnsi" w:hAnsiTheme="majorHAnsi" w:cstheme="majorHAnsi"/>
        </w:rPr>
        <w:t xml:space="preserve"> Millionen auf CHF </w:t>
      </w:r>
      <w:r w:rsidR="009C2190" w:rsidRPr="00A5344E">
        <w:rPr>
          <w:rFonts w:asciiTheme="majorHAnsi" w:hAnsiTheme="majorHAnsi" w:cstheme="majorHAnsi"/>
        </w:rPr>
        <w:t>2’</w:t>
      </w:r>
      <w:r w:rsidR="00751DFF" w:rsidRPr="00A5344E">
        <w:rPr>
          <w:rFonts w:asciiTheme="majorHAnsi" w:hAnsiTheme="majorHAnsi" w:cstheme="majorHAnsi"/>
        </w:rPr>
        <w:t>721</w:t>
      </w:r>
      <w:r w:rsidRPr="00A5344E">
        <w:rPr>
          <w:rFonts w:asciiTheme="majorHAnsi" w:hAnsiTheme="majorHAnsi" w:cstheme="majorHAnsi"/>
        </w:rPr>
        <w:t xml:space="preserve"> Millionen angestiegen. Die positive Wirtschaftslage hatte zur Folge, dass insbesondere die Steuererträge bei den juristischen Personen über den Erwartungen lagen.</w:t>
      </w:r>
    </w:p>
    <w:p w14:paraId="10FAEAAC" w14:textId="77777777" w:rsidR="00827FD3" w:rsidRPr="00A5344E" w:rsidRDefault="00827FD3" w:rsidP="001E0DF4">
      <w:pPr>
        <w:rPr>
          <w:rFonts w:asciiTheme="majorHAnsi" w:hAnsiTheme="majorHAnsi" w:cstheme="majorHAnsi"/>
        </w:rPr>
      </w:pPr>
    </w:p>
    <w:p w14:paraId="38162076" w14:textId="52D959AD" w:rsidR="009C2190" w:rsidRPr="00A5344E" w:rsidRDefault="009C2190" w:rsidP="009C2190">
      <w:pPr>
        <w:pStyle w:val="Beschriftung"/>
        <w:keepNext/>
        <w:rPr>
          <w:rFonts w:asciiTheme="majorHAnsi" w:hAnsiTheme="majorHAnsi" w:cstheme="majorHAnsi"/>
          <w:b/>
          <w:bCs w:val="0"/>
        </w:rPr>
      </w:pPr>
      <w:r w:rsidRPr="00A5344E">
        <w:rPr>
          <w:rFonts w:asciiTheme="majorHAnsi" w:hAnsiTheme="majorHAnsi" w:cstheme="majorHAnsi"/>
          <w:b/>
          <w:bCs w:val="0"/>
        </w:rPr>
        <w:lastRenderedPageBreak/>
        <w:t xml:space="preserve">Abbildung </w:t>
      </w:r>
      <w:r w:rsidR="007732EE" w:rsidRPr="00A5344E">
        <w:rPr>
          <w:rFonts w:asciiTheme="majorHAnsi" w:hAnsiTheme="majorHAnsi" w:cstheme="majorHAnsi"/>
          <w:b/>
          <w:bCs w:val="0"/>
        </w:rPr>
        <w:fldChar w:fldCharType="begin"/>
      </w:r>
      <w:r w:rsidR="007732EE" w:rsidRPr="00A5344E">
        <w:rPr>
          <w:rFonts w:asciiTheme="majorHAnsi" w:hAnsiTheme="majorHAnsi" w:cstheme="majorHAnsi"/>
          <w:b/>
          <w:bCs w:val="0"/>
        </w:rPr>
        <w:instrText xml:space="preserve"> SEQ Abbildung \* ARABIC </w:instrText>
      </w:r>
      <w:r w:rsidR="007732EE"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10</w:t>
      </w:r>
      <w:r w:rsidR="007732EE" w:rsidRPr="00A5344E">
        <w:rPr>
          <w:rFonts w:asciiTheme="majorHAnsi" w:hAnsiTheme="majorHAnsi" w:cstheme="majorHAnsi"/>
          <w:b/>
          <w:bCs w:val="0"/>
        </w:rPr>
        <w:fldChar w:fldCharType="end"/>
      </w:r>
      <w:r w:rsidRPr="00A5344E">
        <w:rPr>
          <w:rFonts w:asciiTheme="majorHAnsi" w:hAnsiTheme="majorHAnsi" w:cstheme="majorHAnsi"/>
          <w:b/>
          <w:bCs w:val="0"/>
        </w:rPr>
        <w:t>:</w:t>
      </w:r>
      <w:r w:rsidRPr="00A5344E">
        <w:rPr>
          <w:rFonts w:asciiTheme="majorHAnsi" w:hAnsiTheme="majorHAnsi" w:cstheme="majorHAnsi"/>
          <w:b/>
          <w:bCs w:val="0"/>
        </w:rPr>
        <w:tab/>
        <w:t>Entwicklung Einnahmen ordentliche Gemeindesteuern 20</w:t>
      </w:r>
      <w:r w:rsidR="00751DFF" w:rsidRPr="00A5344E">
        <w:rPr>
          <w:rFonts w:asciiTheme="majorHAnsi" w:hAnsiTheme="majorHAnsi" w:cstheme="majorHAnsi"/>
          <w:b/>
          <w:bCs w:val="0"/>
        </w:rPr>
        <w:t>19</w:t>
      </w:r>
      <w:r w:rsidRPr="00A5344E">
        <w:rPr>
          <w:rFonts w:asciiTheme="majorHAnsi" w:hAnsiTheme="majorHAnsi" w:cstheme="majorHAnsi"/>
          <w:b/>
          <w:bCs w:val="0"/>
        </w:rPr>
        <w:t>-202</w:t>
      </w:r>
      <w:r w:rsidR="00751DFF" w:rsidRPr="00A5344E">
        <w:rPr>
          <w:rFonts w:asciiTheme="majorHAnsi" w:hAnsiTheme="majorHAnsi" w:cstheme="majorHAnsi"/>
          <w:b/>
          <w:bCs w:val="0"/>
        </w:rPr>
        <w:t>3</w:t>
      </w:r>
    </w:p>
    <w:p w14:paraId="08E67D3F" w14:textId="2345E362" w:rsidR="001E0DF4" w:rsidRPr="00A5344E" w:rsidRDefault="00751DFF" w:rsidP="00751DFF">
      <w:pPr>
        <w:jc w:val="both"/>
        <w:rPr>
          <w:rFonts w:asciiTheme="majorHAnsi" w:hAnsiTheme="majorHAnsi" w:cstheme="majorHAnsi"/>
        </w:rPr>
      </w:pPr>
      <w:r w:rsidRPr="00A5344E">
        <w:rPr>
          <w:rFonts w:asciiTheme="majorHAnsi" w:hAnsiTheme="majorHAnsi" w:cstheme="majorHAnsi"/>
          <w:noProof/>
        </w:rPr>
        <w:drawing>
          <wp:inline distT="0" distB="0" distL="0" distR="0" wp14:anchorId="205D7D72" wp14:editId="2AC00328">
            <wp:extent cx="5260975" cy="2808605"/>
            <wp:effectExtent l="0" t="0" r="0" b="0"/>
            <wp:docPr id="10283993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0975" cy="2808605"/>
                    </a:xfrm>
                    <a:prstGeom prst="rect">
                      <a:avLst/>
                    </a:prstGeom>
                    <a:noFill/>
                    <a:ln>
                      <a:noFill/>
                    </a:ln>
                  </pic:spPr>
                </pic:pic>
              </a:graphicData>
            </a:graphic>
          </wp:inline>
        </w:drawing>
      </w:r>
    </w:p>
    <w:p w14:paraId="11C33238" w14:textId="77777777" w:rsidR="009C2190" w:rsidRPr="00A5344E" w:rsidRDefault="009C2190" w:rsidP="001E0DF4">
      <w:pPr>
        <w:rPr>
          <w:rFonts w:asciiTheme="majorHAnsi" w:hAnsiTheme="majorHAnsi" w:cstheme="majorHAnsi"/>
        </w:rPr>
      </w:pPr>
    </w:p>
    <w:p w14:paraId="123EBD46" w14:textId="6FB88ECD" w:rsidR="001E0DF4" w:rsidRPr="00A5344E" w:rsidRDefault="001E0DF4" w:rsidP="001E0DF4">
      <w:pPr>
        <w:rPr>
          <w:rFonts w:asciiTheme="majorHAnsi" w:hAnsiTheme="majorHAnsi" w:cstheme="majorHAnsi"/>
        </w:rPr>
      </w:pPr>
      <w:r w:rsidRPr="00A5344E">
        <w:rPr>
          <w:rFonts w:asciiTheme="majorHAnsi" w:hAnsiTheme="majorHAnsi" w:cstheme="majorHAnsi"/>
        </w:rPr>
        <w:t xml:space="preserve">Wie hat sich nun der Anstieg der Steuereinnahmen von rund CHF </w:t>
      </w:r>
      <w:r w:rsidR="00751DFF" w:rsidRPr="00A5344E">
        <w:rPr>
          <w:rFonts w:asciiTheme="majorHAnsi" w:hAnsiTheme="majorHAnsi" w:cstheme="majorHAnsi"/>
        </w:rPr>
        <w:t>234</w:t>
      </w:r>
      <w:r w:rsidRPr="00A5344E">
        <w:rPr>
          <w:rFonts w:asciiTheme="majorHAnsi" w:hAnsiTheme="majorHAnsi" w:cstheme="majorHAnsi"/>
        </w:rPr>
        <w:t xml:space="preserve"> Millionen im Jahr </w:t>
      </w:r>
      <w:r w:rsidR="009C2190" w:rsidRPr="00A5344E">
        <w:rPr>
          <w:rFonts w:asciiTheme="majorHAnsi" w:hAnsiTheme="majorHAnsi" w:cstheme="majorHAnsi"/>
        </w:rPr>
        <w:t>202</w:t>
      </w:r>
      <w:r w:rsidR="00751DFF" w:rsidRPr="00A5344E">
        <w:rPr>
          <w:rFonts w:asciiTheme="majorHAnsi" w:hAnsiTheme="majorHAnsi" w:cstheme="majorHAnsi"/>
        </w:rPr>
        <w:t>3</w:t>
      </w:r>
      <w:r w:rsidRPr="00A5344E">
        <w:rPr>
          <w:rFonts w:asciiTheme="majorHAnsi" w:hAnsiTheme="majorHAnsi" w:cstheme="majorHAnsi"/>
        </w:rPr>
        <w:t xml:space="preserve"> im Vergleich zum Jahr </w:t>
      </w:r>
      <w:r w:rsidR="009C2190" w:rsidRPr="00A5344E">
        <w:rPr>
          <w:rFonts w:asciiTheme="majorHAnsi" w:hAnsiTheme="majorHAnsi" w:cstheme="majorHAnsi"/>
        </w:rPr>
        <w:t>20</w:t>
      </w:r>
      <w:r w:rsidR="00751DFF" w:rsidRPr="00A5344E">
        <w:rPr>
          <w:rFonts w:asciiTheme="majorHAnsi" w:hAnsiTheme="majorHAnsi" w:cstheme="majorHAnsi"/>
        </w:rPr>
        <w:t>19</w:t>
      </w:r>
      <w:r w:rsidRPr="00A5344E">
        <w:rPr>
          <w:rFonts w:asciiTheme="majorHAnsi" w:hAnsiTheme="majorHAnsi" w:cstheme="majorHAnsi"/>
        </w:rPr>
        <w:t xml:space="preserve"> auf einzelne Gemeindegruppen ausgewirkt?</w:t>
      </w:r>
    </w:p>
    <w:p w14:paraId="1D5860F4" w14:textId="77777777" w:rsidR="001E0DF4" w:rsidRPr="00A5344E" w:rsidRDefault="001E0DF4" w:rsidP="001E0DF4">
      <w:pPr>
        <w:rPr>
          <w:rFonts w:asciiTheme="majorHAnsi" w:hAnsiTheme="majorHAnsi" w:cstheme="majorHAnsi"/>
          <w:highlight w:val="yellow"/>
        </w:rPr>
      </w:pPr>
    </w:p>
    <w:p w14:paraId="0BEFF1E3" w14:textId="3674D62A" w:rsidR="001E0DF4" w:rsidRPr="00A5344E" w:rsidRDefault="001E0DF4" w:rsidP="001E0DF4">
      <w:pPr>
        <w:rPr>
          <w:rFonts w:asciiTheme="majorHAnsi" w:hAnsiTheme="majorHAnsi" w:cstheme="majorHAnsi"/>
        </w:rPr>
      </w:pPr>
      <w:r w:rsidRPr="00A5344E">
        <w:rPr>
          <w:rFonts w:asciiTheme="majorHAnsi" w:hAnsiTheme="majorHAnsi" w:cstheme="majorHAnsi"/>
        </w:rPr>
        <w:t xml:space="preserve">Aus der </w:t>
      </w:r>
      <w:r w:rsidR="005646C3" w:rsidRPr="00A5344E">
        <w:rPr>
          <w:rFonts w:asciiTheme="majorHAnsi" w:hAnsiTheme="majorHAnsi" w:cstheme="majorHAnsi"/>
        </w:rPr>
        <w:fldChar w:fldCharType="begin"/>
      </w:r>
      <w:r w:rsidR="005646C3" w:rsidRPr="00A5344E">
        <w:rPr>
          <w:rFonts w:asciiTheme="majorHAnsi" w:hAnsiTheme="majorHAnsi" w:cstheme="majorHAnsi"/>
        </w:rPr>
        <w:instrText xml:space="preserve"> REF _Ref187920089 \h </w:instrText>
      </w:r>
      <w:r w:rsidR="00827FD3" w:rsidRPr="00A5344E">
        <w:rPr>
          <w:rFonts w:asciiTheme="majorHAnsi" w:hAnsiTheme="majorHAnsi" w:cstheme="majorHAnsi"/>
        </w:rPr>
        <w:instrText xml:space="preserve"> \* MERGEFORMAT </w:instrText>
      </w:r>
      <w:r w:rsidR="005646C3" w:rsidRPr="00A5344E">
        <w:rPr>
          <w:rFonts w:asciiTheme="majorHAnsi" w:hAnsiTheme="majorHAnsi" w:cstheme="majorHAnsi"/>
        </w:rPr>
      </w:r>
      <w:r w:rsidR="005646C3" w:rsidRPr="00A5344E">
        <w:rPr>
          <w:rFonts w:asciiTheme="majorHAnsi" w:hAnsiTheme="majorHAnsi" w:cstheme="majorHAnsi"/>
        </w:rPr>
        <w:fldChar w:fldCharType="separate"/>
      </w:r>
      <w:r w:rsidR="00A513C6" w:rsidRPr="00A5344E">
        <w:rPr>
          <w:rFonts w:asciiTheme="majorHAnsi" w:hAnsiTheme="majorHAnsi" w:cstheme="majorHAnsi"/>
        </w:rPr>
        <w:t xml:space="preserve">Abbildung </w:t>
      </w:r>
      <w:r w:rsidR="00A513C6" w:rsidRPr="00A5344E">
        <w:rPr>
          <w:rFonts w:asciiTheme="majorHAnsi" w:hAnsiTheme="majorHAnsi" w:cstheme="majorHAnsi"/>
          <w:noProof/>
        </w:rPr>
        <w:t>11</w:t>
      </w:r>
      <w:r w:rsidR="005646C3" w:rsidRPr="00A5344E">
        <w:rPr>
          <w:rFonts w:asciiTheme="majorHAnsi" w:hAnsiTheme="majorHAnsi" w:cstheme="majorHAnsi"/>
        </w:rPr>
        <w:fldChar w:fldCharType="end"/>
      </w:r>
      <w:r w:rsidRPr="00A5344E">
        <w:rPr>
          <w:rFonts w:asciiTheme="majorHAnsi" w:hAnsiTheme="majorHAnsi" w:cstheme="majorHAnsi"/>
        </w:rPr>
        <w:t xml:space="preserve"> ist ersichtlich, dass im Zeitraum </w:t>
      </w:r>
      <w:r w:rsidR="006C797F" w:rsidRPr="00A5344E">
        <w:rPr>
          <w:rFonts w:asciiTheme="majorHAnsi" w:hAnsiTheme="majorHAnsi" w:cstheme="majorHAnsi"/>
        </w:rPr>
        <w:t>20</w:t>
      </w:r>
      <w:r w:rsidR="005646C3" w:rsidRPr="00A5344E">
        <w:rPr>
          <w:rFonts w:asciiTheme="majorHAnsi" w:hAnsiTheme="majorHAnsi" w:cstheme="majorHAnsi"/>
        </w:rPr>
        <w:t>19</w:t>
      </w:r>
      <w:r w:rsidRPr="00A5344E">
        <w:rPr>
          <w:rFonts w:asciiTheme="majorHAnsi" w:hAnsiTheme="majorHAnsi" w:cstheme="majorHAnsi"/>
        </w:rPr>
        <w:t xml:space="preserve"> bis </w:t>
      </w:r>
      <w:r w:rsidR="006C797F" w:rsidRPr="00A5344E">
        <w:rPr>
          <w:rFonts w:asciiTheme="majorHAnsi" w:hAnsiTheme="majorHAnsi" w:cstheme="majorHAnsi"/>
        </w:rPr>
        <w:t>202</w:t>
      </w:r>
      <w:r w:rsidR="005646C3" w:rsidRPr="00A5344E">
        <w:rPr>
          <w:rFonts w:asciiTheme="majorHAnsi" w:hAnsiTheme="majorHAnsi" w:cstheme="majorHAnsi"/>
        </w:rPr>
        <w:t>3</w:t>
      </w:r>
      <w:r w:rsidRPr="00A5344E">
        <w:rPr>
          <w:rFonts w:asciiTheme="majorHAnsi" w:hAnsiTheme="majorHAnsi" w:cstheme="majorHAnsi"/>
        </w:rPr>
        <w:t xml:space="preserve"> die Gemeinden mit einem HEI zwischen 70 und 80 mit </w:t>
      </w:r>
      <w:r w:rsidR="005646C3" w:rsidRPr="00A5344E">
        <w:rPr>
          <w:rFonts w:asciiTheme="majorHAnsi" w:hAnsiTheme="majorHAnsi" w:cstheme="majorHAnsi"/>
        </w:rPr>
        <w:t>1.8</w:t>
      </w:r>
      <w:r w:rsidR="00444127" w:rsidRPr="00A5344E">
        <w:rPr>
          <w:rFonts w:asciiTheme="majorHAnsi" w:hAnsiTheme="majorHAnsi" w:cstheme="majorHAnsi"/>
        </w:rPr>
        <w:t>3</w:t>
      </w:r>
      <w:r w:rsidRPr="00A5344E">
        <w:rPr>
          <w:rFonts w:asciiTheme="majorHAnsi" w:hAnsiTheme="majorHAnsi" w:cstheme="majorHAnsi"/>
        </w:rPr>
        <w:t xml:space="preserve"> Steueranlagezehnteln die grössten Mehreinnahmen verzeichnen konnten. Den geringsten Zuwachs an Steuereinnahmen hatten die Gemeinden mit einem HEI </w:t>
      </w:r>
      <w:r w:rsidR="00444127" w:rsidRPr="00A5344E">
        <w:rPr>
          <w:rFonts w:asciiTheme="majorHAnsi" w:hAnsiTheme="majorHAnsi" w:cstheme="majorHAnsi"/>
        </w:rPr>
        <w:t xml:space="preserve">zwischen 80 und 100 </w:t>
      </w:r>
      <w:r w:rsidRPr="00A5344E">
        <w:rPr>
          <w:rFonts w:asciiTheme="majorHAnsi" w:hAnsiTheme="majorHAnsi" w:cstheme="majorHAnsi"/>
        </w:rPr>
        <w:t xml:space="preserve">mit </w:t>
      </w:r>
      <w:r w:rsidR="005646C3" w:rsidRPr="00A5344E">
        <w:rPr>
          <w:rFonts w:asciiTheme="majorHAnsi" w:hAnsiTheme="majorHAnsi" w:cstheme="majorHAnsi"/>
        </w:rPr>
        <w:t>1.</w:t>
      </w:r>
      <w:r w:rsidR="00444127" w:rsidRPr="00A5344E">
        <w:rPr>
          <w:rFonts w:asciiTheme="majorHAnsi" w:hAnsiTheme="majorHAnsi" w:cstheme="majorHAnsi"/>
        </w:rPr>
        <w:t>24</w:t>
      </w:r>
      <w:r w:rsidRPr="00A5344E">
        <w:rPr>
          <w:rFonts w:asciiTheme="majorHAnsi" w:hAnsiTheme="majorHAnsi" w:cstheme="majorHAnsi"/>
        </w:rPr>
        <w:t xml:space="preserve"> Steueranlagezehnteln.</w:t>
      </w:r>
    </w:p>
    <w:p w14:paraId="59F6EBB9" w14:textId="77777777" w:rsidR="005646C3" w:rsidRPr="00A5344E" w:rsidRDefault="005646C3" w:rsidP="001E0DF4">
      <w:pPr>
        <w:rPr>
          <w:rFonts w:asciiTheme="majorHAnsi" w:hAnsiTheme="majorHAnsi" w:cstheme="majorHAnsi"/>
        </w:rPr>
      </w:pPr>
    </w:p>
    <w:p w14:paraId="267DD889" w14:textId="3314687C" w:rsidR="005646C3" w:rsidRPr="00A5344E" w:rsidRDefault="005646C3" w:rsidP="005646C3">
      <w:pPr>
        <w:pStyle w:val="Beschriftung"/>
        <w:keepNext/>
        <w:rPr>
          <w:rFonts w:asciiTheme="majorHAnsi" w:hAnsiTheme="majorHAnsi" w:cstheme="majorHAnsi"/>
          <w:b/>
          <w:bCs w:val="0"/>
        </w:rPr>
      </w:pPr>
      <w:bookmarkStart w:id="47" w:name="_Ref187920089"/>
      <w:bookmarkStart w:id="48" w:name="_Hlk188449961"/>
      <w:r w:rsidRPr="00A5344E">
        <w:rPr>
          <w:rFonts w:asciiTheme="majorHAnsi" w:hAnsiTheme="majorHAnsi" w:cstheme="majorHAnsi"/>
          <w:b/>
          <w:bCs w:val="0"/>
        </w:rPr>
        <w:t xml:space="preserve">Abbildung </w:t>
      </w:r>
      <w:r w:rsidRPr="00A5344E">
        <w:rPr>
          <w:rFonts w:asciiTheme="majorHAnsi" w:hAnsiTheme="majorHAnsi" w:cstheme="majorHAnsi"/>
          <w:b/>
          <w:bCs w:val="0"/>
        </w:rPr>
        <w:fldChar w:fldCharType="begin"/>
      </w:r>
      <w:r w:rsidRPr="00A5344E">
        <w:rPr>
          <w:rFonts w:asciiTheme="majorHAnsi" w:hAnsiTheme="majorHAnsi" w:cstheme="majorHAnsi"/>
          <w:b/>
          <w:bCs w:val="0"/>
        </w:rPr>
        <w:instrText xml:space="preserve"> SEQ Abbildung \* ARABIC </w:instrText>
      </w:r>
      <w:r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11</w:t>
      </w:r>
      <w:r w:rsidRPr="00A5344E">
        <w:rPr>
          <w:rFonts w:asciiTheme="majorHAnsi" w:hAnsiTheme="majorHAnsi" w:cstheme="majorHAnsi"/>
          <w:b/>
          <w:bCs w:val="0"/>
        </w:rPr>
        <w:fldChar w:fldCharType="end"/>
      </w:r>
      <w:bookmarkEnd w:id="47"/>
      <w:r w:rsidRPr="00A5344E">
        <w:rPr>
          <w:rFonts w:asciiTheme="majorHAnsi" w:hAnsiTheme="majorHAnsi" w:cstheme="majorHAnsi"/>
          <w:b/>
          <w:bCs w:val="0"/>
        </w:rPr>
        <w:t>:</w:t>
      </w:r>
      <w:r w:rsidRPr="00A5344E">
        <w:rPr>
          <w:rFonts w:asciiTheme="majorHAnsi" w:hAnsiTheme="majorHAnsi" w:cstheme="majorHAnsi"/>
          <w:b/>
          <w:bCs w:val="0"/>
        </w:rPr>
        <w:tab/>
        <w:t>Mehreinnahmen ordentliche Gemeindesteuern, Veränderung der Jahre 2019 und 2023:</w:t>
      </w:r>
      <w:r w:rsidRPr="00A5344E">
        <w:rPr>
          <w:rFonts w:asciiTheme="majorHAnsi" w:hAnsiTheme="majorHAnsi" w:cstheme="majorHAnsi"/>
          <w:b/>
          <w:bCs w:val="0"/>
        </w:rPr>
        <w:br/>
      </w:r>
      <w:r w:rsidRPr="00A5344E">
        <w:rPr>
          <w:rFonts w:asciiTheme="majorHAnsi" w:hAnsiTheme="majorHAnsi" w:cstheme="majorHAnsi"/>
          <w:b/>
          <w:bCs w:val="0"/>
        </w:rPr>
        <w:tab/>
      </w:r>
      <w:r w:rsidRPr="00A5344E">
        <w:rPr>
          <w:rFonts w:asciiTheme="majorHAnsi" w:hAnsiTheme="majorHAnsi" w:cstheme="majorHAnsi"/>
          <w:b/>
          <w:bCs w:val="0"/>
        </w:rPr>
        <w:tab/>
        <w:t>Gemeindeeinteilung nach HEI 2023</w:t>
      </w:r>
    </w:p>
    <w:tbl>
      <w:tblPr>
        <w:tblStyle w:val="Ecoplankombi"/>
        <w:tblW w:w="5000" w:type="pct"/>
        <w:tblLook w:val="04A0" w:firstRow="1" w:lastRow="0" w:firstColumn="1" w:lastColumn="0" w:noHBand="0" w:noVBand="1"/>
      </w:tblPr>
      <w:tblGrid>
        <w:gridCol w:w="2811"/>
        <w:gridCol w:w="1196"/>
        <w:gridCol w:w="1197"/>
        <w:gridCol w:w="1197"/>
        <w:gridCol w:w="1199"/>
        <w:gridCol w:w="1197"/>
        <w:gridCol w:w="1181"/>
      </w:tblGrid>
      <w:tr w:rsidR="005646C3" w:rsidRPr="00A5344E" w14:paraId="5C5F7994" w14:textId="77777777" w:rsidTr="005646C3">
        <w:trPr>
          <w:cnfStyle w:val="100000000000" w:firstRow="1" w:lastRow="0" w:firstColumn="0" w:lastColumn="0" w:oddVBand="0" w:evenVBand="0" w:oddHBand="0" w:evenHBand="0" w:firstRowFirstColumn="0" w:firstRowLastColumn="0" w:lastRowFirstColumn="0" w:lastRowLastColumn="0"/>
          <w:trHeight w:val="330"/>
        </w:trPr>
        <w:tc>
          <w:tcPr>
            <w:tcW w:w="1408" w:type="pct"/>
            <w:noWrap/>
          </w:tcPr>
          <w:bookmarkEnd w:id="48"/>
          <w:p w14:paraId="09C9433B" w14:textId="54482A45"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b/>
                <w:bCs/>
              </w:rPr>
              <w:t>Rubrik/HEI-Kategorie</w:t>
            </w:r>
          </w:p>
        </w:tc>
        <w:tc>
          <w:tcPr>
            <w:tcW w:w="599" w:type="pct"/>
            <w:noWrap/>
          </w:tcPr>
          <w:p w14:paraId="0924EA88" w14:textId="5D5C5CF9"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&lt;60</w:t>
            </w:r>
          </w:p>
        </w:tc>
        <w:tc>
          <w:tcPr>
            <w:tcW w:w="600" w:type="pct"/>
            <w:noWrap/>
          </w:tcPr>
          <w:p w14:paraId="68460A71" w14:textId="3429AC1B"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&gt;60/&lt;70</w:t>
            </w:r>
          </w:p>
        </w:tc>
        <w:tc>
          <w:tcPr>
            <w:tcW w:w="600" w:type="pct"/>
            <w:noWrap/>
          </w:tcPr>
          <w:p w14:paraId="620B833D" w14:textId="0025E188"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&gt;70/&lt;80</w:t>
            </w:r>
          </w:p>
        </w:tc>
        <w:tc>
          <w:tcPr>
            <w:tcW w:w="601" w:type="pct"/>
            <w:noWrap/>
          </w:tcPr>
          <w:p w14:paraId="6EB6B477" w14:textId="51F768EE"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&gt;80/&lt;100</w:t>
            </w:r>
          </w:p>
        </w:tc>
        <w:tc>
          <w:tcPr>
            <w:tcW w:w="600" w:type="pct"/>
            <w:noWrap/>
          </w:tcPr>
          <w:p w14:paraId="72363C5A" w14:textId="368FC826"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&gt;100</w:t>
            </w:r>
          </w:p>
        </w:tc>
        <w:tc>
          <w:tcPr>
            <w:tcW w:w="593" w:type="pct"/>
          </w:tcPr>
          <w:p w14:paraId="25B6441B" w14:textId="68970106"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Total</w:t>
            </w:r>
          </w:p>
        </w:tc>
      </w:tr>
      <w:tr w:rsidR="005646C3" w:rsidRPr="00A5344E" w14:paraId="79344459"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8" w:type="pct"/>
            <w:noWrap/>
          </w:tcPr>
          <w:p w14:paraId="55C7FE54" w14:textId="276CC492"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Total</w:t>
            </w:r>
          </w:p>
        </w:tc>
        <w:tc>
          <w:tcPr>
            <w:tcW w:w="599" w:type="pct"/>
            <w:noWrap/>
          </w:tcPr>
          <w:p w14:paraId="7474B501" w14:textId="4CFF592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2’981’965</w:t>
            </w:r>
          </w:p>
        </w:tc>
        <w:tc>
          <w:tcPr>
            <w:tcW w:w="600" w:type="pct"/>
            <w:noWrap/>
          </w:tcPr>
          <w:p w14:paraId="3C50D50F" w14:textId="6D20D0F4"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9’146’591</w:t>
            </w:r>
          </w:p>
        </w:tc>
        <w:tc>
          <w:tcPr>
            <w:tcW w:w="600" w:type="pct"/>
            <w:noWrap/>
          </w:tcPr>
          <w:p w14:paraId="040A774C" w14:textId="6FB3D248"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35’241’779</w:t>
            </w:r>
          </w:p>
        </w:tc>
        <w:tc>
          <w:tcPr>
            <w:tcW w:w="601" w:type="pct"/>
            <w:noWrap/>
          </w:tcPr>
          <w:p w14:paraId="208F3FBB" w14:textId="1E51069E"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78’766’384</w:t>
            </w:r>
          </w:p>
        </w:tc>
        <w:tc>
          <w:tcPr>
            <w:tcW w:w="600" w:type="pct"/>
            <w:noWrap/>
          </w:tcPr>
          <w:p w14:paraId="328CA75A" w14:textId="796B799E"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108’193’771</w:t>
            </w:r>
          </w:p>
        </w:tc>
        <w:tc>
          <w:tcPr>
            <w:tcW w:w="593" w:type="pct"/>
          </w:tcPr>
          <w:p w14:paraId="58FCE6EF" w14:textId="5D32273F"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234’330’490</w:t>
            </w:r>
          </w:p>
        </w:tc>
      </w:tr>
      <w:tr w:rsidR="005646C3" w:rsidRPr="00A5344E" w14:paraId="4F91601C" w14:textId="77777777" w:rsidTr="005646C3">
        <w:trPr>
          <w:cnfStyle w:val="000000010000" w:firstRow="0" w:lastRow="0" w:firstColumn="0" w:lastColumn="0" w:oddVBand="0" w:evenVBand="0" w:oddHBand="0" w:evenHBand="1" w:firstRowFirstColumn="0" w:firstRowLastColumn="0" w:lastRowFirstColumn="0" w:lastRowLastColumn="0"/>
          <w:trHeight w:val="330"/>
        </w:trPr>
        <w:tc>
          <w:tcPr>
            <w:tcW w:w="1408" w:type="pct"/>
            <w:noWrap/>
          </w:tcPr>
          <w:p w14:paraId="652F0F41" w14:textId="10B7AF3D"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in Stz</w:t>
            </w:r>
          </w:p>
        </w:tc>
        <w:tc>
          <w:tcPr>
            <w:tcW w:w="599" w:type="pct"/>
            <w:noWrap/>
          </w:tcPr>
          <w:p w14:paraId="59691371" w14:textId="0F493CA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1.48</w:t>
            </w:r>
          </w:p>
        </w:tc>
        <w:tc>
          <w:tcPr>
            <w:tcW w:w="600" w:type="pct"/>
            <w:noWrap/>
          </w:tcPr>
          <w:p w14:paraId="2F1BC64B" w14:textId="61B72A18"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1.62</w:t>
            </w:r>
          </w:p>
        </w:tc>
        <w:tc>
          <w:tcPr>
            <w:tcW w:w="600" w:type="pct"/>
            <w:noWrap/>
          </w:tcPr>
          <w:p w14:paraId="579308D5" w14:textId="2B972F94"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1.83</w:t>
            </w:r>
          </w:p>
        </w:tc>
        <w:tc>
          <w:tcPr>
            <w:tcW w:w="601" w:type="pct"/>
            <w:noWrap/>
          </w:tcPr>
          <w:p w14:paraId="3EC6A833" w14:textId="0E8009D3"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1.24</w:t>
            </w:r>
          </w:p>
        </w:tc>
        <w:tc>
          <w:tcPr>
            <w:tcW w:w="600" w:type="pct"/>
            <w:noWrap/>
          </w:tcPr>
          <w:p w14:paraId="662F77AE" w14:textId="30D6A3E4"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1.36</w:t>
            </w:r>
          </w:p>
        </w:tc>
        <w:tc>
          <w:tcPr>
            <w:tcW w:w="593" w:type="pct"/>
          </w:tcPr>
          <w:p w14:paraId="460F2F2B" w14:textId="6042D137"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1.38</w:t>
            </w:r>
          </w:p>
        </w:tc>
      </w:tr>
      <w:tr w:rsidR="005646C3" w:rsidRPr="00A5344E" w14:paraId="592C7C30"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8" w:type="pct"/>
            <w:noWrap/>
          </w:tcPr>
          <w:p w14:paraId="1720E3B2" w14:textId="11D6C5C3"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Gemeinden Anzahl</w:t>
            </w:r>
          </w:p>
        </w:tc>
        <w:tc>
          <w:tcPr>
            <w:tcW w:w="599" w:type="pct"/>
            <w:noWrap/>
          </w:tcPr>
          <w:p w14:paraId="63CBEF1D" w14:textId="6EA3343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33</w:t>
            </w:r>
          </w:p>
        </w:tc>
        <w:tc>
          <w:tcPr>
            <w:tcW w:w="600" w:type="pct"/>
            <w:noWrap/>
          </w:tcPr>
          <w:p w14:paraId="21A1285E" w14:textId="14387525"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44</w:t>
            </w:r>
          </w:p>
        </w:tc>
        <w:tc>
          <w:tcPr>
            <w:tcW w:w="600" w:type="pct"/>
            <w:noWrap/>
          </w:tcPr>
          <w:p w14:paraId="3E966927" w14:textId="000CC84C"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80</w:t>
            </w:r>
          </w:p>
        </w:tc>
        <w:tc>
          <w:tcPr>
            <w:tcW w:w="601" w:type="pct"/>
            <w:noWrap/>
          </w:tcPr>
          <w:p w14:paraId="2B4CD031" w14:textId="3730A913"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110</w:t>
            </w:r>
          </w:p>
        </w:tc>
        <w:tc>
          <w:tcPr>
            <w:tcW w:w="600" w:type="pct"/>
            <w:noWrap/>
          </w:tcPr>
          <w:p w14:paraId="3CDBA52B" w14:textId="1963AA44"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70</w:t>
            </w:r>
          </w:p>
        </w:tc>
        <w:tc>
          <w:tcPr>
            <w:tcW w:w="593" w:type="pct"/>
          </w:tcPr>
          <w:p w14:paraId="515C3365" w14:textId="31DC85F0"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337</w:t>
            </w:r>
          </w:p>
        </w:tc>
      </w:tr>
      <w:tr w:rsidR="005646C3" w:rsidRPr="00A5344E" w14:paraId="70BC44C4" w14:textId="77777777" w:rsidTr="005646C3">
        <w:trPr>
          <w:cnfStyle w:val="000000010000" w:firstRow="0" w:lastRow="0" w:firstColumn="0" w:lastColumn="0" w:oddVBand="0" w:evenVBand="0" w:oddHBand="0" w:evenHBand="1" w:firstRowFirstColumn="0" w:firstRowLastColumn="0" w:lastRowFirstColumn="0" w:lastRowLastColumn="0"/>
          <w:trHeight w:val="330"/>
        </w:trPr>
        <w:tc>
          <w:tcPr>
            <w:tcW w:w="1408" w:type="pct"/>
            <w:noWrap/>
          </w:tcPr>
          <w:p w14:paraId="1AA516C1" w14:textId="55FAF736"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Einwohner Anzahl</w:t>
            </w:r>
          </w:p>
        </w:tc>
        <w:tc>
          <w:tcPr>
            <w:tcW w:w="599" w:type="pct"/>
            <w:noWrap/>
          </w:tcPr>
          <w:p w14:paraId="4A66B15F" w14:textId="65FDA81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23’502</w:t>
            </w:r>
          </w:p>
        </w:tc>
        <w:tc>
          <w:tcPr>
            <w:tcW w:w="600" w:type="pct"/>
            <w:noWrap/>
          </w:tcPr>
          <w:p w14:paraId="60AF5962" w14:textId="687372B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54’294</w:t>
            </w:r>
          </w:p>
        </w:tc>
        <w:tc>
          <w:tcPr>
            <w:tcW w:w="600" w:type="pct"/>
            <w:noWrap/>
          </w:tcPr>
          <w:p w14:paraId="4204F691" w14:textId="3C9CE61A"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159’820</w:t>
            </w:r>
          </w:p>
        </w:tc>
        <w:tc>
          <w:tcPr>
            <w:tcW w:w="601" w:type="pct"/>
            <w:noWrap/>
          </w:tcPr>
          <w:p w14:paraId="5373FD14" w14:textId="7432336E"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434’170</w:t>
            </w:r>
          </w:p>
        </w:tc>
        <w:tc>
          <w:tcPr>
            <w:tcW w:w="600" w:type="pct"/>
            <w:noWrap/>
          </w:tcPr>
          <w:p w14:paraId="23C0D164" w14:textId="2AA19245"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382’316</w:t>
            </w:r>
          </w:p>
        </w:tc>
        <w:tc>
          <w:tcPr>
            <w:tcW w:w="593" w:type="pct"/>
          </w:tcPr>
          <w:p w14:paraId="372DBD19" w14:textId="0F6535DE"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1’054’102</w:t>
            </w:r>
          </w:p>
        </w:tc>
      </w:tr>
      <w:tr w:rsidR="005646C3" w:rsidRPr="00A5344E" w14:paraId="7A794FDD"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8" w:type="pct"/>
            <w:noWrap/>
          </w:tcPr>
          <w:p w14:paraId="01A7077F" w14:textId="77EEFC97"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pro Einwohner</w:t>
            </w:r>
          </w:p>
        </w:tc>
        <w:tc>
          <w:tcPr>
            <w:tcW w:w="599" w:type="pct"/>
            <w:noWrap/>
          </w:tcPr>
          <w:p w14:paraId="7FD74303" w14:textId="27E16A27"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127</w:t>
            </w:r>
          </w:p>
        </w:tc>
        <w:tc>
          <w:tcPr>
            <w:tcW w:w="600" w:type="pct"/>
            <w:noWrap/>
          </w:tcPr>
          <w:p w14:paraId="0032CCEC" w14:textId="04071601"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168</w:t>
            </w:r>
          </w:p>
        </w:tc>
        <w:tc>
          <w:tcPr>
            <w:tcW w:w="600" w:type="pct"/>
            <w:noWrap/>
          </w:tcPr>
          <w:p w14:paraId="37EC17EE" w14:textId="24FECEBD"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221</w:t>
            </w:r>
          </w:p>
        </w:tc>
        <w:tc>
          <w:tcPr>
            <w:tcW w:w="601" w:type="pct"/>
            <w:noWrap/>
          </w:tcPr>
          <w:p w14:paraId="775EE704" w14:textId="6D814B2F"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181</w:t>
            </w:r>
          </w:p>
        </w:tc>
        <w:tc>
          <w:tcPr>
            <w:tcW w:w="600" w:type="pct"/>
            <w:noWrap/>
          </w:tcPr>
          <w:p w14:paraId="0ED17FB7" w14:textId="4D2C8B67"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283</w:t>
            </w:r>
          </w:p>
        </w:tc>
        <w:tc>
          <w:tcPr>
            <w:tcW w:w="593" w:type="pct"/>
          </w:tcPr>
          <w:p w14:paraId="161D3B51" w14:textId="55920BBE"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222</w:t>
            </w:r>
          </w:p>
        </w:tc>
      </w:tr>
    </w:tbl>
    <w:p w14:paraId="50EA1F94" w14:textId="13BB10FE" w:rsidR="001E0DF4" w:rsidRPr="00A5344E" w:rsidRDefault="001E0DF4" w:rsidP="00DC432E">
      <w:pPr>
        <w:rPr>
          <w:rFonts w:asciiTheme="majorHAnsi" w:hAnsiTheme="majorHAnsi" w:cstheme="majorHAnsi"/>
          <w:highlight w:val="yellow"/>
        </w:rPr>
      </w:pPr>
    </w:p>
    <w:p w14:paraId="0F1F4192" w14:textId="76BDF3AC" w:rsidR="001E0DF4" w:rsidRPr="00A5344E" w:rsidRDefault="005646C3" w:rsidP="00DC432E">
      <w:pPr>
        <w:rPr>
          <w:rFonts w:asciiTheme="majorHAnsi" w:hAnsiTheme="majorHAnsi" w:cstheme="majorHAnsi"/>
        </w:rPr>
      </w:pPr>
      <w:r w:rsidRPr="00A5344E">
        <w:rPr>
          <w:rFonts w:asciiTheme="majorHAnsi" w:hAnsiTheme="majorHAnsi" w:cstheme="majorHAnsi"/>
        </w:rPr>
        <w:fldChar w:fldCharType="begin"/>
      </w:r>
      <w:r w:rsidRPr="00A5344E">
        <w:rPr>
          <w:rFonts w:asciiTheme="majorHAnsi" w:hAnsiTheme="majorHAnsi" w:cstheme="majorHAnsi"/>
        </w:rPr>
        <w:instrText xml:space="preserve"> REF _Ref187920404 \h  \* MERGEFORMAT </w:instrText>
      </w:r>
      <w:r w:rsidRPr="00A5344E">
        <w:rPr>
          <w:rFonts w:asciiTheme="majorHAnsi" w:hAnsiTheme="majorHAnsi" w:cstheme="majorHAnsi"/>
        </w:rPr>
      </w:r>
      <w:r w:rsidRPr="00A5344E">
        <w:rPr>
          <w:rFonts w:asciiTheme="majorHAnsi" w:hAnsiTheme="majorHAnsi" w:cstheme="majorHAnsi"/>
        </w:rPr>
        <w:fldChar w:fldCharType="separate"/>
      </w:r>
      <w:r w:rsidR="00A513C6" w:rsidRPr="00A5344E">
        <w:rPr>
          <w:rFonts w:asciiTheme="majorHAnsi" w:hAnsiTheme="majorHAnsi" w:cstheme="majorHAnsi"/>
        </w:rPr>
        <w:t xml:space="preserve">Abbildung </w:t>
      </w:r>
      <w:r w:rsidR="00A513C6" w:rsidRPr="00A5344E">
        <w:rPr>
          <w:rFonts w:asciiTheme="majorHAnsi" w:hAnsiTheme="majorHAnsi" w:cstheme="majorHAnsi"/>
          <w:noProof/>
        </w:rPr>
        <w:t>12</w:t>
      </w:r>
      <w:r w:rsidRPr="00A5344E">
        <w:rPr>
          <w:rFonts w:asciiTheme="majorHAnsi" w:hAnsiTheme="majorHAnsi" w:cstheme="majorHAnsi"/>
        </w:rPr>
        <w:fldChar w:fldCharType="end"/>
      </w:r>
      <w:r w:rsidRPr="00A5344E">
        <w:rPr>
          <w:rFonts w:asciiTheme="majorHAnsi" w:hAnsiTheme="majorHAnsi" w:cstheme="majorHAnsi"/>
        </w:rPr>
        <w:t xml:space="preserve"> zeigt, </w:t>
      </w:r>
      <w:r w:rsidR="001E0DF4" w:rsidRPr="00A5344E">
        <w:rPr>
          <w:rFonts w:asciiTheme="majorHAnsi" w:hAnsiTheme="majorHAnsi" w:cstheme="majorHAnsi"/>
        </w:rPr>
        <w:t xml:space="preserve">dass die Gemeinden mit einer Steueranlage von 2.00 Einheiten und höher mit </w:t>
      </w:r>
      <w:r w:rsidRPr="00A5344E">
        <w:rPr>
          <w:rFonts w:asciiTheme="majorHAnsi" w:hAnsiTheme="majorHAnsi" w:cstheme="majorHAnsi"/>
        </w:rPr>
        <w:t>2.86</w:t>
      </w:r>
      <w:r w:rsidR="001E0DF4" w:rsidRPr="00A5344E">
        <w:rPr>
          <w:rFonts w:asciiTheme="majorHAnsi" w:hAnsiTheme="majorHAnsi" w:cstheme="majorHAnsi"/>
        </w:rPr>
        <w:t xml:space="preserve"> Steueranlagezehnteln (CHF </w:t>
      </w:r>
      <w:r w:rsidRPr="00A5344E">
        <w:rPr>
          <w:rFonts w:asciiTheme="majorHAnsi" w:hAnsiTheme="majorHAnsi" w:cstheme="majorHAnsi"/>
        </w:rPr>
        <w:t>4.4</w:t>
      </w:r>
      <w:r w:rsidR="001E0DF4" w:rsidRPr="00A5344E">
        <w:rPr>
          <w:rFonts w:asciiTheme="majorHAnsi" w:hAnsiTheme="majorHAnsi" w:cstheme="majorHAnsi"/>
        </w:rPr>
        <w:t xml:space="preserve"> Mio.) die höchsten Mehreinnahmen verzeichnen konnten.</w:t>
      </w:r>
    </w:p>
    <w:p w14:paraId="5212DC3F" w14:textId="77777777" w:rsidR="001E0DF4" w:rsidRPr="00A5344E" w:rsidRDefault="001E0DF4" w:rsidP="00DC432E">
      <w:pPr>
        <w:rPr>
          <w:rFonts w:asciiTheme="majorHAnsi" w:hAnsiTheme="majorHAnsi" w:cstheme="majorHAnsi"/>
        </w:rPr>
      </w:pPr>
    </w:p>
    <w:p w14:paraId="3D23490B" w14:textId="10114172" w:rsidR="001E0DF4" w:rsidRPr="00A5344E" w:rsidRDefault="001E0DF4" w:rsidP="00DC432E">
      <w:pPr>
        <w:rPr>
          <w:rFonts w:asciiTheme="majorHAnsi" w:hAnsiTheme="majorHAnsi" w:cstheme="majorHAnsi"/>
        </w:rPr>
      </w:pPr>
      <w:r w:rsidRPr="00A5344E">
        <w:rPr>
          <w:rFonts w:asciiTheme="majorHAnsi" w:hAnsiTheme="majorHAnsi" w:cstheme="majorHAnsi"/>
        </w:rPr>
        <w:t>Den geringsten Zuwachs an Steuereinnahmen</w:t>
      </w:r>
      <w:r w:rsidR="005646C3" w:rsidRPr="00A5344E">
        <w:rPr>
          <w:rFonts w:asciiTheme="majorHAnsi" w:hAnsiTheme="majorHAnsi" w:cstheme="majorHAnsi"/>
        </w:rPr>
        <w:t xml:space="preserve"> bzw. sogar eine Reduktion der Steuereinnahmen hatten die Gemeinden mit</w:t>
      </w:r>
      <w:r w:rsidRPr="00A5344E">
        <w:rPr>
          <w:rFonts w:asciiTheme="majorHAnsi" w:hAnsiTheme="majorHAnsi" w:cstheme="majorHAnsi"/>
        </w:rPr>
        <w:t xml:space="preserve"> einer Steueranlage </w:t>
      </w:r>
      <w:r w:rsidR="005646C3" w:rsidRPr="00A5344E">
        <w:rPr>
          <w:rFonts w:asciiTheme="majorHAnsi" w:hAnsiTheme="majorHAnsi" w:cstheme="majorHAnsi"/>
        </w:rPr>
        <w:t>kleiner als</w:t>
      </w:r>
      <w:r w:rsidRPr="00A5344E">
        <w:rPr>
          <w:rFonts w:asciiTheme="majorHAnsi" w:hAnsiTheme="majorHAnsi" w:cstheme="majorHAnsi"/>
        </w:rPr>
        <w:t xml:space="preserve"> 1.40 Einheiten mit </w:t>
      </w:r>
      <w:r w:rsidR="005646C3" w:rsidRPr="00A5344E">
        <w:rPr>
          <w:rFonts w:asciiTheme="majorHAnsi" w:hAnsiTheme="majorHAnsi" w:cstheme="majorHAnsi"/>
        </w:rPr>
        <w:t>-0.15</w:t>
      </w:r>
      <w:r w:rsidRPr="00A5344E">
        <w:rPr>
          <w:rFonts w:asciiTheme="majorHAnsi" w:hAnsiTheme="majorHAnsi" w:cstheme="majorHAnsi"/>
        </w:rPr>
        <w:t xml:space="preserve"> Steueranlagezehnteln (CHF</w:t>
      </w:r>
      <w:r w:rsidR="00444127" w:rsidRPr="00A5344E">
        <w:rPr>
          <w:rFonts w:asciiTheme="majorHAnsi" w:hAnsiTheme="majorHAnsi" w:cstheme="majorHAnsi"/>
        </w:rPr>
        <w:t> - </w:t>
      </w:r>
      <w:r w:rsidR="005646C3" w:rsidRPr="00A5344E">
        <w:rPr>
          <w:rFonts w:asciiTheme="majorHAnsi" w:hAnsiTheme="majorHAnsi" w:cstheme="majorHAnsi"/>
        </w:rPr>
        <w:t>2.3</w:t>
      </w:r>
      <w:r w:rsidRPr="00A5344E">
        <w:rPr>
          <w:rFonts w:asciiTheme="majorHAnsi" w:hAnsiTheme="majorHAnsi" w:cstheme="majorHAnsi"/>
        </w:rPr>
        <w:t xml:space="preserve"> Mio.) zu verzeichnen.</w:t>
      </w:r>
    </w:p>
    <w:p w14:paraId="33D94536" w14:textId="338B871F" w:rsidR="001E0DF4" w:rsidRPr="00A5344E" w:rsidRDefault="001E0DF4" w:rsidP="00DC432E">
      <w:pPr>
        <w:pStyle w:val="Textkrper"/>
        <w:spacing w:line="270" w:lineRule="atLeast"/>
        <w:rPr>
          <w:rFonts w:asciiTheme="majorHAnsi" w:hAnsiTheme="majorHAnsi" w:cstheme="majorHAnsi"/>
          <w:highlight w:val="yellow"/>
          <w:lang w:val="de-CH"/>
        </w:rPr>
      </w:pPr>
    </w:p>
    <w:p w14:paraId="72115D22" w14:textId="1CDF78CE" w:rsidR="005646C3" w:rsidRPr="00A5344E" w:rsidRDefault="005646C3" w:rsidP="005646C3">
      <w:pPr>
        <w:pStyle w:val="Beschriftung"/>
        <w:keepNext/>
        <w:rPr>
          <w:rFonts w:asciiTheme="majorHAnsi" w:hAnsiTheme="majorHAnsi" w:cstheme="majorHAnsi"/>
          <w:b/>
          <w:bCs w:val="0"/>
        </w:rPr>
      </w:pPr>
      <w:bookmarkStart w:id="49" w:name="_Ref187920404"/>
      <w:r w:rsidRPr="00A5344E">
        <w:rPr>
          <w:rFonts w:asciiTheme="majorHAnsi" w:hAnsiTheme="majorHAnsi" w:cstheme="majorHAnsi"/>
          <w:b/>
          <w:bCs w:val="0"/>
        </w:rPr>
        <w:lastRenderedPageBreak/>
        <w:t xml:space="preserve">Abbildung </w:t>
      </w:r>
      <w:r w:rsidRPr="00A5344E">
        <w:rPr>
          <w:rFonts w:asciiTheme="majorHAnsi" w:hAnsiTheme="majorHAnsi" w:cstheme="majorHAnsi"/>
          <w:b/>
          <w:bCs w:val="0"/>
        </w:rPr>
        <w:fldChar w:fldCharType="begin"/>
      </w:r>
      <w:r w:rsidRPr="00A5344E">
        <w:rPr>
          <w:rFonts w:asciiTheme="majorHAnsi" w:hAnsiTheme="majorHAnsi" w:cstheme="majorHAnsi"/>
          <w:b/>
          <w:bCs w:val="0"/>
        </w:rPr>
        <w:instrText xml:space="preserve"> SEQ Abbildung \* ARABIC </w:instrText>
      </w:r>
      <w:r w:rsidRPr="00A5344E">
        <w:rPr>
          <w:rFonts w:asciiTheme="majorHAnsi" w:hAnsiTheme="majorHAnsi" w:cstheme="majorHAnsi"/>
          <w:b/>
          <w:bCs w:val="0"/>
        </w:rPr>
        <w:fldChar w:fldCharType="separate"/>
      </w:r>
      <w:r w:rsidR="00A513C6" w:rsidRPr="00A5344E">
        <w:rPr>
          <w:rFonts w:asciiTheme="majorHAnsi" w:hAnsiTheme="majorHAnsi" w:cstheme="majorHAnsi"/>
          <w:b/>
          <w:bCs w:val="0"/>
          <w:noProof/>
        </w:rPr>
        <w:t>12</w:t>
      </w:r>
      <w:r w:rsidRPr="00A5344E">
        <w:rPr>
          <w:rFonts w:asciiTheme="majorHAnsi" w:hAnsiTheme="majorHAnsi" w:cstheme="majorHAnsi"/>
          <w:b/>
          <w:bCs w:val="0"/>
        </w:rPr>
        <w:fldChar w:fldCharType="end"/>
      </w:r>
      <w:bookmarkEnd w:id="49"/>
      <w:r w:rsidRPr="00A5344E">
        <w:rPr>
          <w:rFonts w:asciiTheme="majorHAnsi" w:hAnsiTheme="majorHAnsi" w:cstheme="majorHAnsi"/>
          <w:b/>
          <w:bCs w:val="0"/>
        </w:rPr>
        <w:t>:</w:t>
      </w:r>
      <w:r w:rsidRPr="00A5344E">
        <w:rPr>
          <w:rFonts w:asciiTheme="majorHAnsi" w:hAnsiTheme="majorHAnsi" w:cstheme="majorHAnsi"/>
          <w:b/>
          <w:bCs w:val="0"/>
        </w:rPr>
        <w:tab/>
        <w:t>Mehreinnahmen ordentliche Gemeindesteuern, Veränderung der Jahre 2019 und 2023;</w:t>
      </w:r>
      <w:r w:rsidRPr="00A5344E">
        <w:rPr>
          <w:rFonts w:asciiTheme="majorHAnsi" w:hAnsiTheme="majorHAnsi" w:cstheme="majorHAnsi"/>
          <w:b/>
          <w:bCs w:val="0"/>
        </w:rPr>
        <w:br/>
      </w:r>
      <w:r w:rsidRPr="00A5344E">
        <w:rPr>
          <w:rFonts w:asciiTheme="majorHAnsi" w:hAnsiTheme="majorHAnsi" w:cstheme="majorHAnsi"/>
          <w:b/>
          <w:bCs w:val="0"/>
        </w:rPr>
        <w:tab/>
      </w:r>
      <w:r w:rsidRPr="00A5344E">
        <w:rPr>
          <w:rFonts w:asciiTheme="majorHAnsi" w:hAnsiTheme="majorHAnsi" w:cstheme="majorHAnsi"/>
          <w:b/>
          <w:bCs w:val="0"/>
        </w:rPr>
        <w:tab/>
        <w:t>Gemeindeeinteilung nach Gemeindesteueranlagen von 2023</w:t>
      </w:r>
    </w:p>
    <w:tbl>
      <w:tblPr>
        <w:tblStyle w:val="Ecoplankombi"/>
        <w:tblW w:w="5000" w:type="pct"/>
        <w:tblLook w:val="04A0" w:firstRow="1" w:lastRow="0" w:firstColumn="1" w:lastColumn="0" w:noHBand="0" w:noVBand="1"/>
      </w:tblPr>
      <w:tblGrid>
        <w:gridCol w:w="2813"/>
        <w:gridCol w:w="1196"/>
        <w:gridCol w:w="1197"/>
        <w:gridCol w:w="1197"/>
        <w:gridCol w:w="1199"/>
        <w:gridCol w:w="1197"/>
        <w:gridCol w:w="1179"/>
      </w:tblGrid>
      <w:tr w:rsidR="005646C3" w:rsidRPr="00A5344E" w14:paraId="26B41548" w14:textId="77777777" w:rsidTr="005646C3">
        <w:trPr>
          <w:cnfStyle w:val="100000000000" w:firstRow="1" w:lastRow="0" w:firstColumn="0" w:lastColumn="0" w:oddVBand="0" w:evenVBand="0" w:oddHBand="0" w:evenHBand="0" w:firstRowFirstColumn="0" w:firstRowLastColumn="0" w:lastRowFirstColumn="0" w:lastRowLastColumn="0"/>
          <w:trHeight w:val="330"/>
        </w:trPr>
        <w:tc>
          <w:tcPr>
            <w:tcW w:w="1409" w:type="pct"/>
            <w:noWrap/>
          </w:tcPr>
          <w:p w14:paraId="278E7666" w14:textId="51E23FDA"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b/>
                <w:bCs/>
              </w:rPr>
              <w:t>Rubrik/StAnl-Kategorie</w:t>
            </w:r>
          </w:p>
        </w:tc>
        <w:tc>
          <w:tcPr>
            <w:tcW w:w="599" w:type="pct"/>
            <w:noWrap/>
          </w:tcPr>
          <w:p w14:paraId="1F60F49C" w14:textId="5EAAF520"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&lt;1.40</w:t>
            </w:r>
          </w:p>
        </w:tc>
        <w:tc>
          <w:tcPr>
            <w:tcW w:w="600" w:type="pct"/>
            <w:noWrap/>
          </w:tcPr>
          <w:p w14:paraId="6594B812" w14:textId="66BEE247"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&gt;1.40-1.59</w:t>
            </w:r>
          </w:p>
        </w:tc>
        <w:tc>
          <w:tcPr>
            <w:tcW w:w="600" w:type="pct"/>
            <w:noWrap/>
          </w:tcPr>
          <w:p w14:paraId="15667B9C" w14:textId="28F19120"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&gt;1.60-1.79</w:t>
            </w:r>
          </w:p>
        </w:tc>
        <w:tc>
          <w:tcPr>
            <w:tcW w:w="601" w:type="pct"/>
            <w:noWrap/>
          </w:tcPr>
          <w:p w14:paraId="17A0C6D2" w14:textId="385F17B3"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&gt;1.80-1.99</w:t>
            </w:r>
          </w:p>
        </w:tc>
        <w:tc>
          <w:tcPr>
            <w:tcW w:w="600" w:type="pct"/>
            <w:noWrap/>
          </w:tcPr>
          <w:p w14:paraId="0DF83425" w14:textId="7CFFD317"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&gt;2.00</w:t>
            </w:r>
          </w:p>
        </w:tc>
        <w:tc>
          <w:tcPr>
            <w:tcW w:w="592" w:type="pct"/>
          </w:tcPr>
          <w:p w14:paraId="05F5185B" w14:textId="52A84951" w:rsidR="005646C3" w:rsidRPr="00A5344E" w:rsidRDefault="005646C3" w:rsidP="005646C3">
            <w:pPr>
              <w:pStyle w:val="Tabellentext"/>
              <w:jc w:val="right"/>
              <w:rPr>
                <w:rFonts w:asciiTheme="majorHAnsi" w:hAnsiTheme="majorHAnsi" w:cstheme="majorHAnsi"/>
                <w:b/>
                <w:bCs/>
                <w:lang w:eastAsia="de-CH"/>
              </w:rPr>
            </w:pPr>
            <w:r w:rsidRPr="00A5344E">
              <w:rPr>
                <w:rFonts w:asciiTheme="majorHAnsi" w:hAnsiTheme="majorHAnsi" w:cstheme="majorHAnsi"/>
                <w:b/>
                <w:bCs/>
              </w:rPr>
              <w:t>Total</w:t>
            </w:r>
          </w:p>
        </w:tc>
      </w:tr>
      <w:tr w:rsidR="005646C3" w:rsidRPr="00A5344E" w14:paraId="50A3CCE8"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9" w:type="pct"/>
            <w:noWrap/>
          </w:tcPr>
          <w:p w14:paraId="65A123CD" w14:textId="42214F00"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Total</w:t>
            </w:r>
          </w:p>
        </w:tc>
        <w:tc>
          <w:tcPr>
            <w:tcW w:w="599" w:type="pct"/>
            <w:noWrap/>
          </w:tcPr>
          <w:p w14:paraId="71E75599" w14:textId="63D12ADD"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-2’341’020</w:t>
            </w:r>
          </w:p>
        </w:tc>
        <w:tc>
          <w:tcPr>
            <w:tcW w:w="600" w:type="pct"/>
            <w:noWrap/>
          </w:tcPr>
          <w:p w14:paraId="52CBBE86" w14:textId="6EBC9033"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84’328’447</w:t>
            </w:r>
          </w:p>
        </w:tc>
        <w:tc>
          <w:tcPr>
            <w:tcW w:w="600" w:type="pct"/>
            <w:noWrap/>
          </w:tcPr>
          <w:p w14:paraId="6D5902E7" w14:textId="18DF2CF5"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106’225’700</w:t>
            </w:r>
          </w:p>
        </w:tc>
        <w:tc>
          <w:tcPr>
            <w:tcW w:w="601" w:type="pct"/>
            <w:noWrap/>
          </w:tcPr>
          <w:p w14:paraId="0AD14B29" w14:textId="7430441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41’740’470</w:t>
            </w:r>
          </w:p>
        </w:tc>
        <w:tc>
          <w:tcPr>
            <w:tcW w:w="600" w:type="pct"/>
            <w:noWrap/>
          </w:tcPr>
          <w:p w14:paraId="1A3D2576" w14:textId="5016C64E"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4’376’893</w:t>
            </w:r>
          </w:p>
        </w:tc>
        <w:tc>
          <w:tcPr>
            <w:tcW w:w="592" w:type="pct"/>
          </w:tcPr>
          <w:p w14:paraId="36D2D0DF" w14:textId="07157F28"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234’330’490</w:t>
            </w:r>
          </w:p>
        </w:tc>
      </w:tr>
      <w:tr w:rsidR="005646C3" w:rsidRPr="00A5344E" w14:paraId="24829936" w14:textId="77777777" w:rsidTr="005646C3">
        <w:trPr>
          <w:cnfStyle w:val="000000010000" w:firstRow="0" w:lastRow="0" w:firstColumn="0" w:lastColumn="0" w:oddVBand="0" w:evenVBand="0" w:oddHBand="0" w:evenHBand="1" w:firstRowFirstColumn="0" w:firstRowLastColumn="0" w:lastRowFirstColumn="0" w:lastRowLastColumn="0"/>
          <w:trHeight w:val="330"/>
        </w:trPr>
        <w:tc>
          <w:tcPr>
            <w:tcW w:w="1409" w:type="pct"/>
            <w:noWrap/>
          </w:tcPr>
          <w:p w14:paraId="36F8CE94" w14:textId="0B294AD6"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in Stz</w:t>
            </w:r>
          </w:p>
        </w:tc>
        <w:tc>
          <w:tcPr>
            <w:tcW w:w="599" w:type="pct"/>
            <w:noWrap/>
          </w:tcPr>
          <w:p w14:paraId="0219C5A2" w14:textId="6726BC8D"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-0.15</w:t>
            </w:r>
          </w:p>
        </w:tc>
        <w:tc>
          <w:tcPr>
            <w:tcW w:w="600" w:type="pct"/>
            <w:noWrap/>
          </w:tcPr>
          <w:p w14:paraId="31BF7E5E" w14:textId="5F76D919"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1.28</w:t>
            </w:r>
          </w:p>
        </w:tc>
        <w:tc>
          <w:tcPr>
            <w:tcW w:w="600" w:type="pct"/>
            <w:noWrap/>
          </w:tcPr>
          <w:p w14:paraId="1A5F9D91" w14:textId="03D35FCD"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1.56</w:t>
            </w:r>
          </w:p>
        </w:tc>
        <w:tc>
          <w:tcPr>
            <w:tcW w:w="601" w:type="pct"/>
            <w:noWrap/>
          </w:tcPr>
          <w:p w14:paraId="612C7DBE" w14:textId="5C6D20E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2.26</w:t>
            </w:r>
          </w:p>
        </w:tc>
        <w:tc>
          <w:tcPr>
            <w:tcW w:w="600" w:type="pct"/>
            <w:noWrap/>
          </w:tcPr>
          <w:p w14:paraId="02E0D977" w14:textId="65C8191C"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2.86</w:t>
            </w:r>
          </w:p>
        </w:tc>
        <w:tc>
          <w:tcPr>
            <w:tcW w:w="592" w:type="pct"/>
          </w:tcPr>
          <w:p w14:paraId="07034BE1" w14:textId="468E1F9F"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1.38</w:t>
            </w:r>
          </w:p>
        </w:tc>
      </w:tr>
      <w:tr w:rsidR="005646C3" w:rsidRPr="00A5344E" w14:paraId="152F5541"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9" w:type="pct"/>
            <w:noWrap/>
          </w:tcPr>
          <w:p w14:paraId="413C6601" w14:textId="070D414A"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Gemeinden Anzahl</w:t>
            </w:r>
          </w:p>
        </w:tc>
        <w:tc>
          <w:tcPr>
            <w:tcW w:w="599" w:type="pct"/>
            <w:noWrap/>
          </w:tcPr>
          <w:p w14:paraId="45220433" w14:textId="5A7BEE3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18</w:t>
            </w:r>
          </w:p>
        </w:tc>
        <w:tc>
          <w:tcPr>
            <w:tcW w:w="600" w:type="pct"/>
            <w:noWrap/>
          </w:tcPr>
          <w:p w14:paraId="4507F3CA" w14:textId="094FB81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63</w:t>
            </w:r>
          </w:p>
        </w:tc>
        <w:tc>
          <w:tcPr>
            <w:tcW w:w="600" w:type="pct"/>
            <w:noWrap/>
          </w:tcPr>
          <w:p w14:paraId="5D206F5D" w14:textId="42A5235A"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140</w:t>
            </w:r>
          </w:p>
        </w:tc>
        <w:tc>
          <w:tcPr>
            <w:tcW w:w="601" w:type="pct"/>
            <w:noWrap/>
          </w:tcPr>
          <w:p w14:paraId="405D1A9A" w14:textId="376C18A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101</w:t>
            </w:r>
          </w:p>
        </w:tc>
        <w:tc>
          <w:tcPr>
            <w:tcW w:w="600" w:type="pct"/>
            <w:noWrap/>
          </w:tcPr>
          <w:p w14:paraId="4ED25B4A" w14:textId="4BCE7D8B"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15</w:t>
            </w:r>
          </w:p>
        </w:tc>
        <w:tc>
          <w:tcPr>
            <w:tcW w:w="592" w:type="pct"/>
          </w:tcPr>
          <w:p w14:paraId="7704FB73" w14:textId="30CC8D54"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337</w:t>
            </w:r>
          </w:p>
        </w:tc>
      </w:tr>
      <w:tr w:rsidR="005646C3" w:rsidRPr="00A5344E" w14:paraId="11CFD03E" w14:textId="77777777" w:rsidTr="005646C3">
        <w:trPr>
          <w:cnfStyle w:val="000000010000" w:firstRow="0" w:lastRow="0" w:firstColumn="0" w:lastColumn="0" w:oddVBand="0" w:evenVBand="0" w:oddHBand="0" w:evenHBand="1" w:firstRowFirstColumn="0" w:firstRowLastColumn="0" w:lastRowFirstColumn="0" w:lastRowLastColumn="0"/>
          <w:trHeight w:val="330"/>
        </w:trPr>
        <w:tc>
          <w:tcPr>
            <w:tcW w:w="1409" w:type="pct"/>
            <w:noWrap/>
          </w:tcPr>
          <w:p w14:paraId="53E6566F" w14:textId="3C664279"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Einwohner Anzahl</w:t>
            </w:r>
          </w:p>
        </w:tc>
        <w:tc>
          <w:tcPr>
            <w:tcW w:w="599" w:type="pct"/>
            <w:noWrap/>
          </w:tcPr>
          <w:p w14:paraId="468EC687" w14:textId="40C0245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59’751</w:t>
            </w:r>
          </w:p>
        </w:tc>
        <w:tc>
          <w:tcPr>
            <w:tcW w:w="600" w:type="pct"/>
            <w:noWrap/>
          </w:tcPr>
          <w:p w14:paraId="6E62F997" w14:textId="51BCF1C0"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356’075</w:t>
            </w:r>
          </w:p>
        </w:tc>
        <w:tc>
          <w:tcPr>
            <w:tcW w:w="600" w:type="pct"/>
            <w:noWrap/>
          </w:tcPr>
          <w:p w14:paraId="660DF9CF" w14:textId="220E23ED"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469’856</w:t>
            </w:r>
          </w:p>
        </w:tc>
        <w:tc>
          <w:tcPr>
            <w:tcW w:w="601" w:type="pct"/>
            <w:noWrap/>
          </w:tcPr>
          <w:p w14:paraId="41356007" w14:textId="6EC9C32C"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154’947</w:t>
            </w:r>
          </w:p>
        </w:tc>
        <w:tc>
          <w:tcPr>
            <w:tcW w:w="600" w:type="pct"/>
            <w:noWrap/>
          </w:tcPr>
          <w:p w14:paraId="37B1C09D" w14:textId="48BE8F33"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13’473</w:t>
            </w:r>
          </w:p>
        </w:tc>
        <w:tc>
          <w:tcPr>
            <w:tcW w:w="592" w:type="pct"/>
          </w:tcPr>
          <w:p w14:paraId="3937193B" w14:textId="7C913C60"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1’054’102</w:t>
            </w:r>
          </w:p>
        </w:tc>
      </w:tr>
      <w:tr w:rsidR="005646C3" w:rsidRPr="00A5344E" w14:paraId="1905CF99" w14:textId="77777777" w:rsidTr="005646C3">
        <w:trPr>
          <w:cnfStyle w:val="000000100000" w:firstRow="0" w:lastRow="0" w:firstColumn="0" w:lastColumn="0" w:oddVBand="0" w:evenVBand="0" w:oddHBand="1" w:evenHBand="0" w:firstRowFirstColumn="0" w:firstRowLastColumn="0" w:lastRowFirstColumn="0" w:lastRowLastColumn="0"/>
          <w:trHeight w:val="330"/>
        </w:trPr>
        <w:tc>
          <w:tcPr>
            <w:tcW w:w="1409" w:type="pct"/>
            <w:noWrap/>
          </w:tcPr>
          <w:p w14:paraId="6C748BE6" w14:textId="0AE5FDD0" w:rsidR="005646C3" w:rsidRPr="00A5344E" w:rsidRDefault="005646C3" w:rsidP="005646C3">
            <w:pPr>
              <w:pStyle w:val="Tabellentext"/>
              <w:rPr>
                <w:rFonts w:asciiTheme="majorHAnsi" w:hAnsiTheme="majorHAnsi" w:cstheme="majorHAnsi"/>
                <w:b/>
                <w:bCs/>
                <w:lang w:eastAsia="de-CH"/>
              </w:rPr>
            </w:pPr>
            <w:r w:rsidRPr="00A5344E">
              <w:rPr>
                <w:rFonts w:asciiTheme="majorHAnsi" w:hAnsiTheme="majorHAnsi" w:cstheme="majorHAnsi"/>
              </w:rPr>
              <w:t>Mehreinnahmen pro Einwohner</w:t>
            </w:r>
          </w:p>
        </w:tc>
        <w:tc>
          <w:tcPr>
            <w:tcW w:w="599" w:type="pct"/>
            <w:noWrap/>
          </w:tcPr>
          <w:p w14:paraId="4E27EB4B" w14:textId="4E3A18E9"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-39</w:t>
            </w:r>
          </w:p>
        </w:tc>
        <w:tc>
          <w:tcPr>
            <w:tcW w:w="600" w:type="pct"/>
            <w:noWrap/>
          </w:tcPr>
          <w:p w14:paraId="6C7A7615" w14:textId="47E109FF"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237</w:t>
            </w:r>
          </w:p>
        </w:tc>
        <w:tc>
          <w:tcPr>
            <w:tcW w:w="600" w:type="pct"/>
            <w:noWrap/>
          </w:tcPr>
          <w:p w14:paraId="3110FBAA" w14:textId="5D3E2586"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226</w:t>
            </w:r>
          </w:p>
        </w:tc>
        <w:tc>
          <w:tcPr>
            <w:tcW w:w="601" w:type="pct"/>
            <w:noWrap/>
          </w:tcPr>
          <w:p w14:paraId="7393824B" w14:textId="0C6D38A5"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269</w:t>
            </w:r>
          </w:p>
        </w:tc>
        <w:tc>
          <w:tcPr>
            <w:tcW w:w="600" w:type="pct"/>
            <w:noWrap/>
          </w:tcPr>
          <w:p w14:paraId="7CFA79C5" w14:textId="3441116C" w:rsidR="005646C3" w:rsidRPr="00A5344E" w:rsidRDefault="005646C3" w:rsidP="005646C3">
            <w:pPr>
              <w:pStyle w:val="Tabellentext"/>
              <w:jc w:val="right"/>
              <w:rPr>
                <w:rFonts w:asciiTheme="majorHAnsi" w:hAnsiTheme="majorHAnsi" w:cstheme="majorHAnsi"/>
                <w:lang w:eastAsia="de-CH"/>
              </w:rPr>
            </w:pPr>
            <w:r w:rsidRPr="00A5344E">
              <w:rPr>
                <w:rFonts w:asciiTheme="majorHAnsi" w:hAnsiTheme="majorHAnsi" w:cstheme="majorHAnsi"/>
              </w:rPr>
              <w:t>325</w:t>
            </w:r>
          </w:p>
        </w:tc>
        <w:tc>
          <w:tcPr>
            <w:tcW w:w="592" w:type="pct"/>
          </w:tcPr>
          <w:p w14:paraId="301E6497" w14:textId="7F7EF7A5" w:rsidR="005646C3" w:rsidRPr="00A5344E" w:rsidRDefault="005646C3" w:rsidP="005646C3">
            <w:pPr>
              <w:pStyle w:val="Tabellentext"/>
              <w:jc w:val="right"/>
              <w:rPr>
                <w:rFonts w:asciiTheme="majorHAnsi" w:hAnsiTheme="majorHAnsi" w:cstheme="majorHAnsi"/>
              </w:rPr>
            </w:pPr>
            <w:r w:rsidRPr="00A5344E">
              <w:rPr>
                <w:rFonts w:asciiTheme="majorHAnsi" w:hAnsiTheme="majorHAnsi" w:cstheme="majorHAnsi"/>
              </w:rPr>
              <w:t>222</w:t>
            </w:r>
          </w:p>
        </w:tc>
      </w:tr>
    </w:tbl>
    <w:p w14:paraId="09EC1C66" w14:textId="77777777" w:rsidR="005646C3" w:rsidRPr="00A5344E" w:rsidRDefault="005646C3" w:rsidP="00DC432E">
      <w:pPr>
        <w:pStyle w:val="Textkrper"/>
        <w:spacing w:line="270" w:lineRule="atLeast"/>
        <w:rPr>
          <w:rFonts w:asciiTheme="majorHAnsi" w:hAnsiTheme="majorHAnsi" w:cstheme="majorHAnsi"/>
          <w:highlight w:val="yellow"/>
        </w:rPr>
      </w:pPr>
    </w:p>
    <w:p w14:paraId="05240D0E" w14:textId="5A2A2C32" w:rsidR="00406B6D" w:rsidRPr="00A5344E" w:rsidRDefault="001E0DF4" w:rsidP="001E0DF4">
      <w:pPr>
        <w:pStyle w:val="berschrift2nummeriert"/>
        <w:rPr>
          <w:rFonts w:cstheme="majorHAnsi"/>
        </w:rPr>
      </w:pPr>
      <w:bookmarkStart w:id="50" w:name="_Ref185250214"/>
      <w:bookmarkStart w:id="51" w:name="_Toc191888252"/>
      <w:r w:rsidRPr="00A5344E">
        <w:rPr>
          <w:rFonts w:cstheme="majorHAnsi"/>
        </w:rPr>
        <w:t>Rechnungsergebnisse der Gemeinden 202</w:t>
      </w:r>
      <w:r w:rsidR="00B81B58" w:rsidRPr="00A5344E">
        <w:rPr>
          <w:rFonts w:cstheme="majorHAnsi"/>
        </w:rPr>
        <w:t>3</w:t>
      </w:r>
      <w:r w:rsidRPr="00A5344E">
        <w:rPr>
          <w:rFonts w:cstheme="majorHAnsi"/>
        </w:rPr>
        <w:t xml:space="preserve"> – ein Überblick</w:t>
      </w:r>
      <w:bookmarkEnd w:id="50"/>
      <w:bookmarkEnd w:id="51"/>
    </w:p>
    <w:p w14:paraId="04A2D1E3" w14:textId="35B10DD4" w:rsidR="00406B6D" w:rsidRPr="00A5344E" w:rsidRDefault="00406B6D" w:rsidP="00A513C6">
      <w:pPr>
        <w:pStyle w:val="Beschriftung"/>
        <w:keepNext/>
        <w:rPr>
          <w:rFonts w:asciiTheme="majorHAnsi" w:hAnsiTheme="majorHAnsi" w:cstheme="majorHAnsi"/>
          <w:b/>
          <w:bCs w:val="0"/>
        </w:rPr>
      </w:pPr>
      <w:r w:rsidRPr="00A5344E">
        <w:rPr>
          <w:rFonts w:asciiTheme="majorHAnsi" w:hAnsiTheme="majorHAnsi" w:cstheme="majorHAnsi"/>
          <w:b/>
          <w:bCs w:val="0"/>
        </w:rPr>
        <w:t>Abbildung 13:</w:t>
      </w:r>
      <w:r w:rsidRPr="00A5344E">
        <w:rPr>
          <w:rFonts w:asciiTheme="majorHAnsi" w:hAnsiTheme="majorHAnsi" w:cstheme="majorHAnsi"/>
          <w:b/>
          <w:bCs w:val="0"/>
        </w:rPr>
        <w:tab/>
      </w:r>
      <w:r w:rsidRPr="00A5344E">
        <w:rPr>
          <w:rFonts w:asciiTheme="majorHAnsi" w:hAnsiTheme="majorHAnsi" w:cstheme="majorHAnsi"/>
          <w:b/>
        </w:rPr>
        <w:t>Ergebnisse Erfolgsrechnung 202</w:t>
      </w:r>
      <w:r w:rsidR="009D1E20" w:rsidRPr="00A5344E">
        <w:rPr>
          <w:rFonts w:asciiTheme="majorHAnsi" w:hAnsiTheme="majorHAnsi" w:cstheme="majorHAnsi"/>
          <w:b/>
        </w:rPr>
        <w:t>3</w:t>
      </w:r>
      <w:r w:rsidRPr="00A5344E">
        <w:rPr>
          <w:rFonts w:asciiTheme="majorHAnsi" w:hAnsiTheme="majorHAnsi" w:cstheme="majorHAnsi"/>
          <w:b/>
        </w:rPr>
        <w:t xml:space="preserve"> (Allgemeiner Haushalt): nach HEI-Kategorien;</w:t>
      </w:r>
      <w:r w:rsidRPr="00A5344E">
        <w:rPr>
          <w:rFonts w:asciiTheme="majorHAnsi" w:hAnsiTheme="majorHAnsi" w:cstheme="majorHAnsi"/>
          <w:b/>
        </w:rPr>
        <w:br/>
      </w:r>
      <w:r w:rsidRPr="00A5344E">
        <w:rPr>
          <w:rFonts w:asciiTheme="majorHAnsi" w:hAnsiTheme="majorHAnsi" w:cstheme="majorHAnsi"/>
          <w:b/>
        </w:rPr>
        <w:tab/>
      </w:r>
      <w:r w:rsidRPr="00A5344E">
        <w:rPr>
          <w:rFonts w:asciiTheme="majorHAnsi" w:hAnsiTheme="majorHAnsi" w:cstheme="majorHAnsi"/>
          <w:b/>
        </w:rPr>
        <w:tab/>
        <w:t>in CHF / Anzahl Gemeinden / Steueranlagezehntel (Stz)</w:t>
      </w:r>
    </w:p>
    <w:tbl>
      <w:tblPr>
        <w:tblW w:w="5000"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1218"/>
        <w:gridCol w:w="1136"/>
        <w:gridCol w:w="536"/>
        <w:gridCol w:w="582"/>
        <w:gridCol w:w="1128"/>
        <w:gridCol w:w="536"/>
        <w:gridCol w:w="1100"/>
        <w:gridCol w:w="582"/>
        <w:gridCol w:w="1035"/>
        <w:gridCol w:w="536"/>
        <w:gridCol w:w="1007"/>
        <w:gridCol w:w="582"/>
      </w:tblGrid>
      <w:tr w:rsidR="00DD468E" w:rsidRPr="006E4B01" w14:paraId="4E033F62" w14:textId="77777777" w:rsidTr="00AE159B">
        <w:trPr>
          <w:trHeight w:val="329"/>
        </w:trPr>
        <w:tc>
          <w:tcPr>
            <w:tcW w:w="0" w:type="auto"/>
            <w:shd w:val="clear" w:color="000000" w:fill="A8BBC5" w:themeFill="accent1" w:themeFillTint="66"/>
            <w:hideMark/>
          </w:tcPr>
          <w:p w14:paraId="52EDA43A" w14:textId="77777777" w:rsidR="00DD468E" w:rsidRPr="006E4B01" w:rsidRDefault="00DD468E" w:rsidP="00AE159B">
            <w:pPr>
              <w:pStyle w:val="Tabellentext"/>
              <w:rPr>
                <w:rFonts w:asciiTheme="majorHAnsi" w:hAnsiTheme="majorHAnsi" w:cstheme="majorHAnsi"/>
                <w:b/>
                <w:bCs/>
                <w:sz w:val="16"/>
                <w:szCs w:val="16"/>
              </w:rPr>
            </w:pPr>
            <w:r w:rsidRPr="006E4B01">
              <w:rPr>
                <w:rFonts w:asciiTheme="majorHAnsi" w:hAnsiTheme="majorHAnsi" w:cstheme="majorHAnsi"/>
                <w:b/>
                <w:bCs/>
                <w:sz w:val="16"/>
                <w:szCs w:val="16"/>
              </w:rPr>
              <w:t>HEI-Kategorie</w:t>
            </w:r>
          </w:p>
        </w:tc>
        <w:tc>
          <w:tcPr>
            <w:tcW w:w="0" w:type="auto"/>
            <w:shd w:val="clear" w:color="000000" w:fill="A8BBC5" w:themeFill="accent1" w:themeFillTint="66"/>
            <w:hideMark/>
          </w:tcPr>
          <w:p w14:paraId="01C214A6"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Stz</w:t>
            </w:r>
            <w:r w:rsidRPr="006E4B01">
              <w:rPr>
                <w:rFonts w:asciiTheme="majorHAnsi" w:hAnsiTheme="majorHAnsi" w:cstheme="majorHAnsi"/>
                <w:b/>
                <w:bCs/>
                <w:sz w:val="16"/>
                <w:szCs w:val="16"/>
              </w:rPr>
              <w:br/>
              <w:t xml:space="preserve"> &gt; 0</w:t>
            </w:r>
          </w:p>
        </w:tc>
        <w:tc>
          <w:tcPr>
            <w:tcW w:w="0" w:type="auto"/>
            <w:shd w:val="clear" w:color="000000" w:fill="A8BBC5" w:themeFill="accent1" w:themeFillTint="66"/>
            <w:hideMark/>
          </w:tcPr>
          <w:p w14:paraId="0D9ED40A"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p>
        </w:tc>
        <w:tc>
          <w:tcPr>
            <w:tcW w:w="0" w:type="auto"/>
            <w:shd w:val="clear" w:color="000000" w:fill="A8BBC5" w:themeFill="accent1" w:themeFillTint="66"/>
            <w:hideMark/>
          </w:tcPr>
          <w:p w14:paraId="21392BCD"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r w:rsidRPr="006E4B01">
              <w:rPr>
                <w:rFonts w:asciiTheme="majorHAnsi" w:hAnsiTheme="majorHAnsi" w:cstheme="majorHAnsi"/>
                <w:b/>
                <w:bCs/>
                <w:sz w:val="16"/>
                <w:szCs w:val="16"/>
              </w:rPr>
              <w:br/>
              <w:t>Stz 0</w:t>
            </w:r>
          </w:p>
        </w:tc>
        <w:tc>
          <w:tcPr>
            <w:tcW w:w="0" w:type="auto"/>
            <w:shd w:val="clear" w:color="000000" w:fill="A8BBC5" w:themeFill="accent1" w:themeFillTint="66"/>
            <w:hideMark/>
          </w:tcPr>
          <w:p w14:paraId="29520960"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Stz</w:t>
            </w:r>
            <w:r w:rsidRPr="006E4B01">
              <w:rPr>
                <w:rFonts w:asciiTheme="majorHAnsi" w:hAnsiTheme="majorHAnsi" w:cstheme="majorHAnsi"/>
                <w:b/>
                <w:bCs/>
                <w:sz w:val="16"/>
                <w:szCs w:val="16"/>
              </w:rPr>
              <w:br/>
              <w:t>&lt; 0 &gt;-1</w:t>
            </w:r>
          </w:p>
        </w:tc>
        <w:tc>
          <w:tcPr>
            <w:tcW w:w="0" w:type="auto"/>
            <w:shd w:val="clear" w:color="000000" w:fill="A8BBC5" w:themeFill="accent1" w:themeFillTint="66"/>
            <w:hideMark/>
          </w:tcPr>
          <w:p w14:paraId="4B3E80AA"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p>
        </w:tc>
        <w:tc>
          <w:tcPr>
            <w:tcW w:w="0" w:type="auto"/>
            <w:shd w:val="clear" w:color="000000" w:fill="A8BBC5" w:themeFill="accent1" w:themeFillTint="66"/>
            <w:hideMark/>
          </w:tcPr>
          <w:p w14:paraId="37DADCF7"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Stz</w:t>
            </w:r>
            <w:r w:rsidRPr="006E4B01">
              <w:rPr>
                <w:rFonts w:asciiTheme="majorHAnsi" w:hAnsiTheme="majorHAnsi" w:cstheme="majorHAnsi"/>
                <w:b/>
                <w:bCs/>
                <w:sz w:val="16"/>
                <w:szCs w:val="16"/>
              </w:rPr>
              <w:br/>
              <w:t>&lt;-1 &gt;-2</w:t>
            </w:r>
          </w:p>
        </w:tc>
        <w:tc>
          <w:tcPr>
            <w:tcW w:w="0" w:type="auto"/>
            <w:shd w:val="clear" w:color="000000" w:fill="A8BBC5" w:themeFill="accent1" w:themeFillTint="66"/>
            <w:hideMark/>
          </w:tcPr>
          <w:p w14:paraId="625BB616"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p>
        </w:tc>
        <w:tc>
          <w:tcPr>
            <w:tcW w:w="0" w:type="auto"/>
            <w:shd w:val="clear" w:color="000000" w:fill="A8BBC5" w:themeFill="accent1" w:themeFillTint="66"/>
            <w:hideMark/>
          </w:tcPr>
          <w:p w14:paraId="73655955"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Stz</w:t>
            </w:r>
            <w:r w:rsidRPr="006E4B01">
              <w:rPr>
                <w:rFonts w:asciiTheme="majorHAnsi" w:hAnsiTheme="majorHAnsi" w:cstheme="majorHAnsi"/>
                <w:b/>
                <w:bCs/>
                <w:sz w:val="16"/>
                <w:szCs w:val="16"/>
              </w:rPr>
              <w:br/>
              <w:t>&lt;-2&gt;-3</w:t>
            </w:r>
          </w:p>
        </w:tc>
        <w:tc>
          <w:tcPr>
            <w:tcW w:w="0" w:type="auto"/>
            <w:shd w:val="clear" w:color="000000" w:fill="A8BBC5" w:themeFill="accent1" w:themeFillTint="66"/>
            <w:hideMark/>
          </w:tcPr>
          <w:p w14:paraId="12210EF0"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p>
        </w:tc>
        <w:tc>
          <w:tcPr>
            <w:tcW w:w="0" w:type="auto"/>
            <w:shd w:val="clear" w:color="000000" w:fill="A8BBC5" w:themeFill="accent1" w:themeFillTint="66"/>
            <w:hideMark/>
          </w:tcPr>
          <w:p w14:paraId="1946C6CF"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Stz</w:t>
            </w:r>
            <w:r w:rsidRPr="006E4B01">
              <w:rPr>
                <w:rFonts w:asciiTheme="majorHAnsi" w:hAnsiTheme="majorHAnsi" w:cstheme="majorHAnsi"/>
                <w:b/>
                <w:bCs/>
                <w:sz w:val="16"/>
                <w:szCs w:val="16"/>
              </w:rPr>
              <w:br/>
              <w:t>&lt;-3</w:t>
            </w:r>
          </w:p>
        </w:tc>
        <w:tc>
          <w:tcPr>
            <w:tcW w:w="0" w:type="auto"/>
            <w:shd w:val="clear" w:color="000000" w:fill="A8BBC5" w:themeFill="accent1" w:themeFillTint="66"/>
            <w:hideMark/>
          </w:tcPr>
          <w:p w14:paraId="4B45C0D3" w14:textId="77777777" w:rsidR="00DD468E" w:rsidRPr="006E4B01" w:rsidRDefault="00DD468E" w:rsidP="00C50D11">
            <w:pPr>
              <w:pStyle w:val="Tabellentext"/>
              <w:jc w:val="right"/>
              <w:rPr>
                <w:rFonts w:asciiTheme="majorHAnsi" w:hAnsiTheme="majorHAnsi" w:cstheme="majorHAnsi"/>
                <w:b/>
                <w:bCs/>
                <w:sz w:val="16"/>
                <w:szCs w:val="16"/>
              </w:rPr>
            </w:pPr>
            <w:r w:rsidRPr="006E4B01">
              <w:rPr>
                <w:rFonts w:asciiTheme="majorHAnsi" w:hAnsiTheme="majorHAnsi" w:cstheme="majorHAnsi"/>
                <w:b/>
                <w:bCs/>
                <w:sz w:val="16"/>
                <w:szCs w:val="16"/>
              </w:rPr>
              <w:t>Anz.</w:t>
            </w:r>
            <w:r w:rsidRPr="006E4B01">
              <w:rPr>
                <w:rFonts w:asciiTheme="majorHAnsi" w:hAnsiTheme="majorHAnsi" w:cstheme="majorHAnsi"/>
                <w:b/>
                <w:bCs/>
                <w:sz w:val="16"/>
                <w:szCs w:val="16"/>
              </w:rPr>
              <w:br/>
              <w:t>Gem.</w:t>
            </w:r>
          </w:p>
        </w:tc>
      </w:tr>
      <w:tr w:rsidR="00DD468E" w:rsidRPr="006E4B01" w14:paraId="7ECBB95B" w14:textId="77777777" w:rsidTr="00AE159B">
        <w:trPr>
          <w:trHeight w:val="329"/>
        </w:trPr>
        <w:tc>
          <w:tcPr>
            <w:tcW w:w="0" w:type="auto"/>
            <w:shd w:val="clear" w:color="auto" w:fill="auto"/>
            <w:noWrap/>
            <w:vAlign w:val="center"/>
            <w:hideMark/>
          </w:tcPr>
          <w:p w14:paraId="6DA37F8B" w14:textId="77777777" w:rsidR="00DD468E" w:rsidRPr="006E4B01" w:rsidRDefault="00DD468E" w:rsidP="00AE159B">
            <w:pPr>
              <w:spacing w:line="240" w:lineRule="auto"/>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HEI &lt; 60</w:t>
            </w:r>
          </w:p>
        </w:tc>
        <w:tc>
          <w:tcPr>
            <w:tcW w:w="0" w:type="auto"/>
            <w:shd w:val="clear" w:color="auto" w:fill="auto"/>
            <w:noWrap/>
            <w:vAlign w:val="center"/>
            <w:hideMark/>
          </w:tcPr>
          <w:p w14:paraId="3460FBBF"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2’899’808 </w:t>
            </w:r>
          </w:p>
        </w:tc>
        <w:tc>
          <w:tcPr>
            <w:tcW w:w="0" w:type="auto"/>
            <w:shd w:val="clear" w:color="auto" w:fill="auto"/>
            <w:noWrap/>
            <w:vAlign w:val="center"/>
            <w:hideMark/>
          </w:tcPr>
          <w:p w14:paraId="07A698CB"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21 </w:t>
            </w:r>
          </w:p>
        </w:tc>
        <w:tc>
          <w:tcPr>
            <w:tcW w:w="0" w:type="auto"/>
            <w:shd w:val="clear" w:color="auto" w:fill="auto"/>
            <w:noWrap/>
            <w:vAlign w:val="center"/>
            <w:hideMark/>
          </w:tcPr>
          <w:p w14:paraId="1D406563"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9 </w:t>
            </w:r>
          </w:p>
        </w:tc>
        <w:tc>
          <w:tcPr>
            <w:tcW w:w="0" w:type="auto"/>
            <w:shd w:val="clear" w:color="auto" w:fill="auto"/>
            <w:noWrap/>
            <w:vAlign w:val="center"/>
            <w:hideMark/>
          </w:tcPr>
          <w:p w14:paraId="4A7E3EF0"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-51’827 </w:t>
            </w:r>
          </w:p>
        </w:tc>
        <w:tc>
          <w:tcPr>
            <w:tcW w:w="0" w:type="auto"/>
            <w:shd w:val="clear" w:color="auto" w:fill="auto"/>
            <w:noWrap/>
            <w:vAlign w:val="center"/>
            <w:hideMark/>
          </w:tcPr>
          <w:p w14:paraId="68414AF6"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c>
          <w:tcPr>
            <w:tcW w:w="0" w:type="auto"/>
            <w:shd w:val="clear" w:color="auto" w:fill="auto"/>
            <w:noWrap/>
            <w:vAlign w:val="center"/>
            <w:hideMark/>
          </w:tcPr>
          <w:p w14:paraId="2BE5AE0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-97’246 </w:t>
            </w:r>
          </w:p>
        </w:tc>
        <w:tc>
          <w:tcPr>
            <w:tcW w:w="0" w:type="auto"/>
            <w:shd w:val="clear" w:color="auto" w:fill="auto"/>
            <w:noWrap/>
            <w:vAlign w:val="center"/>
            <w:hideMark/>
          </w:tcPr>
          <w:p w14:paraId="255273F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 </w:t>
            </w:r>
          </w:p>
        </w:tc>
        <w:tc>
          <w:tcPr>
            <w:tcW w:w="0" w:type="auto"/>
            <w:shd w:val="clear" w:color="auto" w:fill="auto"/>
            <w:noWrap/>
            <w:vAlign w:val="center"/>
            <w:hideMark/>
          </w:tcPr>
          <w:p w14:paraId="6737F617"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   </w:t>
            </w:r>
          </w:p>
        </w:tc>
        <w:tc>
          <w:tcPr>
            <w:tcW w:w="0" w:type="auto"/>
            <w:shd w:val="clear" w:color="auto" w:fill="auto"/>
            <w:noWrap/>
            <w:vAlign w:val="center"/>
            <w:hideMark/>
          </w:tcPr>
          <w:p w14:paraId="68E8BA0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   </w:t>
            </w:r>
          </w:p>
        </w:tc>
        <w:tc>
          <w:tcPr>
            <w:tcW w:w="0" w:type="auto"/>
            <w:shd w:val="clear" w:color="auto" w:fill="auto"/>
            <w:noWrap/>
            <w:vAlign w:val="center"/>
            <w:hideMark/>
          </w:tcPr>
          <w:p w14:paraId="4334968C"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-918’101 </w:t>
            </w:r>
          </w:p>
        </w:tc>
        <w:tc>
          <w:tcPr>
            <w:tcW w:w="0" w:type="auto"/>
            <w:shd w:val="clear" w:color="auto" w:fill="auto"/>
            <w:noWrap/>
            <w:vAlign w:val="center"/>
            <w:hideMark/>
          </w:tcPr>
          <w:p w14:paraId="53805F10"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r>
      <w:tr w:rsidR="00DD468E" w:rsidRPr="006E4B01" w14:paraId="07B9134F" w14:textId="77777777" w:rsidTr="00AE159B">
        <w:trPr>
          <w:trHeight w:val="329"/>
        </w:trPr>
        <w:tc>
          <w:tcPr>
            <w:tcW w:w="0" w:type="auto"/>
            <w:shd w:val="clear" w:color="auto" w:fill="auto"/>
            <w:noWrap/>
            <w:vAlign w:val="center"/>
            <w:hideMark/>
          </w:tcPr>
          <w:p w14:paraId="6892E260" w14:textId="77777777" w:rsidR="00DD468E" w:rsidRPr="006E4B01" w:rsidRDefault="00DD468E" w:rsidP="00AE159B">
            <w:pPr>
              <w:spacing w:line="240" w:lineRule="auto"/>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HEI &gt;60&lt;70</w:t>
            </w:r>
          </w:p>
        </w:tc>
        <w:tc>
          <w:tcPr>
            <w:tcW w:w="0" w:type="auto"/>
            <w:shd w:val="clear" w:color="auto" w:fill="auto"/>
            <w:noWrap/>
            <w:vAlign w:val="center"/>
            <w:hideMark/>
          </w:tcPr>
          <w:p w14:paraId="660362B3"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11’473’920 </w:t>
            </w:r>
          </w:p>
        </w:tc>
        <w:tc>
          <w:tcPr>
            <w:tcW w:w="0" w:type="auto"/>
            <w:shd w:val="clear" w:color="auto" w:fill="auto"/>
            <w:noWrap/>
            <w:vAlign w:val="center"/>
            <w:hideMark/>
          </w:tcPr>
          <w:p w14:paraId="2AEE6776"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27 </w:t>
            </w:r>
          </w:p>
        </w:tc>
        <w:tc>
          <w:tcPr>
            <w:tcW w:w="0" w:type="auto"/>
            <w:shd w:val="clear" w:color="auto" w:fill="auto"/>
            <w:noWrap/>
            <w:vAlign w:val="center"/>
            <w:hideMark/>
          </w:tcPr>
          <w:p w14:paraId="1703EC1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11 </w:t>
            </w:r>
          </w:p>
        </w:tc>
        <w:tc>
          <w:tcPr>
            <w:tcW w:w="0" w:type="auto"/>
            <w:shd w:val="clear" w:color="auto" w:fill="auto"/>
            <w:noWrap/>
            <w:vAlign w:val="center"/>
            <w:hideMark/>
          </w:tcPr>
          <w:p w14:paraId="0C84059F"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-94’703 </w:t>
            </w:r>
          </w:p>
        </w:tc>
        <w:tc>
          <w:tcPr>
            <w:tcW w:w="0" w:type="auto"/>
            <w:shd w:val="clear" w:color="auto" w:fill="auto"/>
            <w:noWrap/>
            <w:vAlign w:val="center"/>
            <w:hideMark/>
          </w:tcPr>
          <w:p w14:paraId="3FD85624"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c>
          <w:tcPr>
            <w:tcW w:w="0" w:type="auto"/>
            <w:shd w:val="clear" w:color="auto" w:fill="auto"/>
            <w:noWrap/>
            <w:vAlign w:val="center"/>
            <w:hideMark/>
          </w:tcPr>
          <w:p w14:paraId="696D7173"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-227’466 </w:t>
            </w:r>
          </w:p>
        </w:tc>
        <w:tc>
          <w:tcPr>
            <w:tcW w:w="0" w:type="auto"/>
            <w:shd w:val="clear" w:color="auto" w:fill="auto"/>
            <w:noWrap/>
            <w:vAlign w:val="center"/>
            <w:hideMark/>
          </w:tcPr>
          <w:p w14:paraId="26A648D5"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 </w:t>
            </w:r>
          </w:p>
        </w:tc>
        <w:tc>
          <w:tcPr>
            <w:tcW w:w="0" w:type="auto"/>
            <w:shd w:val="clear" w:color="auto" w:fill="auto"/>
            <w:noWrap/>
            <w:vAlign w:val="center"/>
            <w:hideMark/>
          </w:tcPr>
          <w:p w14:paraId="5444D71D"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   </w:t>
            </w:r>
          </w:p>
        </w:tc>
        <w:tc>
          <w:tcPr>
            <w:tcW w:w="0" w:type="auto"/>
            <w:shd w:val="clear" w:color="auto" w:fill="auto"/>
            <w:noWrap/>
            <w:vAlign w:val="center"/>
            <w:hideMark/>
          </w:tcPr>
          <w:p w14:paraId="6FFD552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   </w:t>
            </w:r>
          </w:p>
        </w:tc>
        <w:tc>
          <w:tcPr>
            <w:tcW w:w="0" w:type="auto"/>
            <w:shd w:val="clear" w:color="auto" w:fill="auto"/>
            <w:noWrap/>
            <w:vAlign w:val="center"/>
            <w:hideMark/>
          </w:tcPr>
          <w:p w14:paraId="64B92018"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-127’831 </w:t>
            </w:r>
          </w:p>
        </w:tc>
        <w:tc>
          <w:tcPr>
            <w:tcW w:w="0" w:type="auto"/>
            <w:shd w:val="clear" w:color="auto" w:fill="auto"/>
            <w:noWrap/>
            <w:vAlign w:val="center"/>
            <w:hideMark/>
          </w:tcPr>
          <w:p w14:paraId="2D113207"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 </w:t>
            </w:r>
          </w:p>
        </w:tc>
      </w:tr>
      <w:tr w:rsidR="00DD468E" w:rsidRPr="006E4B01" w14:paraId="0E78E54B" w14:textId="77777777" w:rsidTr="00AE159B">
        <w:trPr>
          <w:trHeight w:val="329"/>
        </w:trPr>
        <w:tc>
          <w:tcPr>
            <w:tcW w:w="0" w:type="auto"/>
            <w:shd w:val="clear" w:color="auto" w:fill="auto"/>
            <w:noWrap/>
            <w:vAlign w:val="center"/>
            <w:hideMark/>
          </w:tcPr>
          <w:p w14:paraId="62266C3A" w14:textId="77777777" w:rsidR="00DD468E" w:rsidRPr="006E4B01" w:rsidRDefault="00DD468E" w:rsidP="00AE159B">
            <w:pPr>
              <w:spacing w:line="240" w:lineRule="auto"/>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HEI &gt;70&lt;80</w:t>
            </w:r>
          </w:p>
        </w:tc>
        <w:tc>
          <w:tcPr>
            <w:tcW w:w="0" w:type="auto"/>
            <w:shd w:val="clear" w:color="auto" w:fill="auto"/>
            <w:noWrap/>
            <w:vAlign w:val="center"/>
            <w:hideMark/>
          </w:tcPr>
          <w:p w14:paraId="7712E58D"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19’446’567 </w:t>
            </w:r>
          </w:p>
        </w:tc>
        <w:tc>
          <w:tcPr>
            <w:tcW w:w="0" w:type="auto"/>
            <w:shd w:val="clear" w:color="auto" w:fill="auto"/>
            <w:noWrap/>
            <w:vAlign w:val="center"/>
            <w:hideMark/>
          </w:tcPr>
          <w:p w14:paraId="2AFD556C"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48 </w:t>
            </w:r>
          </w:p>
        </w:tc>
        <w:tc>
          <w:tcPr>
            <w:tcW w:w="0" w:type="auto"/>
            <w:shd w:val="clear" w:color="auto" w:fill="auto"/>
            <w:noWrap/>
            <w:vAlign w:val="center"/>
            <w:hideMark/>
          </w:tcPr>
          <w:p w14:paraId="53C2EC2C"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23 </w:t>
            </w:r>
          </w:p>
        </w:tc>
        <w:tc>
          <w:tcPr>
            <w:tcW w:w="0" w:type="auto"/>
            <w:shd w:val="clear" w:color="auto" w:fill="auto"/>
            <w:noWrap/>
            <w:vAlign w:val="center"/>
            <w:hideMark/>
          </w:tcPr>
          <w:p w14:paraId="77EB28F3"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-390’863 </w:t>
            </w:r>
          </w:p>
        </w:tc>
        <w:tc>
          <w:tcPr>
            <w:tcW w:w="0" w:type="auto"/>
            <w:shd w:val="clear" w:color="auto" w:fill="auto"/>
            <w:noWrap/>
            <w:vAlign w:val="center"/>
            <w:hideMark/>
          </w:tcPr>
          <w:p w14:paraId="138EF1BC"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8 </w:t>
            </w:r>
          </w:p>
        </w:tc>
        <w:tc>
          <w:tcPr>
            <w:tcW w:w="0" w:type="auto"/>
            <w:shd w:val="clear" w:color="auto" w:fill="auto"/>
            <w:noWrap/>
            <w:vAlign w:val="center"/>
            <w:hideMark/>
          </w:tcPr>
          <w:p w14:paraId="6DDC6BB9"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-120’831 </w:t>
            </w:r>
          </w:p>
        </w:tc>
        <w:tc>
          <w:tcPr>
            <w:tcW w:w="0" w:type="auto"/>
            <w:shd w:val="clear" w:color="auto" w:fill="auto"/>
            <w:noWrap/>
            <w:vAlign w:val="center"/>
            <w:hideMark/>
          </w:tcPr>
          <w:p w14:paraId="3C1D7B6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 </w:t>
            </w:r>
          </w:p>
        </w:tc>
        <w:tc>
          <w:tcPr>
            <w:tcW w:w="0" w:type="auto"/>
            <w:shd w:val="clear" w:color="auto" w:fill="auto"/>
            <w:noWrap/>
            <w:vAlign w:val="center"/>
            <w:hideMark/>
          </w:tcPr>
          <w:p w14:paraId="521457DD"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-92’422 </w:t>
            </w:r>
          </w:p>
        </w:tc>
        <w:tc>
          <w:tcPr>
            <w:tcW w:w="0" w:type="auto"/>
            <w:shd w:val="clear" w:color="auto" w:fill="auto"/>
            <w:noWrap/>
            <w:vAlign w:val="center"/>
            <w:hideMark/>
          </w:tcPr>
          <w:p w14:paraId="717BA8A0"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 </w:t>
            </w:r>
          </w:p>
        </w:tc>
        <w:tc>
          <w:tcPr>
            <w:tcW w:w="0" w:type="auto"/>
            <w:shd w:val="clear" w:color="auto" w:fill="auto"/>
            <w:noWrap/>
            <w:vAlign w:val="center"/>
            <w:hideMark/>
          </w:tcPr>
          <w:p w14:paraId="3000FF2E"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-1’346’923 </w:t>
            </w:r>
          </w:p>
        </w:tc>
        <w:tc>
          <w:tcPr>
            <w:tcW w:w="0" w:type="auto"/>
            <w:shd w:val="clear" w:color="auto" w:fill="auto"/>
            <w:noWrap/>
            <w:vAlign w:val="center"/>
            <w:hideMark/>
          </w:tcPr>
          <w:p w14:paraId="314A67B2"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r>
      <w:tr w:rsidR="00DD468E" w:rsidRPr="006E4B01" w14:paraId="0AA27FA1" w14:textId="77777777" w:rsidTr="00AE159B">
        <w:trPr>
          <w:trHeight w:val="329"/>
        </w:trPr>
        <w:tc>
          <w:tcPr>
            <w:tcW w:w="0" w:type="auto"/>
            <w:shd w:val="clear" w:color="auto" w:fill="auto"/>
            <w:noWrap/>
            <w:vAlign w:val="center"/>
            <w:hideMark/>
          </w:tcPr>
          <w:p w14:paraId="4F01289D" w14:textId="77777777" w:rsidR="00DD468E" w:rsidRPr="006E4B01" w:rsidRDefault="00DD468E" w:rsidP="00AE159B">
            <w:pPr>
              <w:spacing w:line="240" w:lineRule="auto"/>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HEI &gt;80&lt;100</w:t>
            </w:r>
          </w:p>
        </w:tc>
        <w:tc>
          <w:tcPr>
            <w:tcW w:w="0" w:type="auto"/>
            <w:shd w:val="clear" w:color="auto" w:fill="auto"/>
            <w:noWrap/>
            <w:vAlign w:val="center"/>
            <w:hideMark/>
          </w:tcPr>
          <w:p w14:paraId="7A7FFBF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58’384’161 </w:t>
            </w:r>
          </w:p>
        </w:tc>
        <w:tc>
          <w:tcPr>
            <w:tcW w:w="0" w:type="auto"/>
            <w:shd w:val="clear" w:color="auto" w:fill="auto"/>
            <w:noWrap/>
            <w:vAlign w:val="center"/>
            <w:hideMark/>
          </w:tcPr>
          <w:p w14:paraId="1AF2AA12"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62 </w:t>
            </w:r>
          </w:p>
        </w:tc>
        <w:tc>
          <w:tcPr>
            <w:tcW w:w="0" w:type="auto"/>
            <w:shd w:val="clear" w:color="auto" w:fill="auto"/>
            <w:noWrap/>
            <w:vAlign w:val="center"/>
            <w:hideMark/>
          </w:tcPr>
          <w:p w14:paraId="6A733EF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33 </w:t>
            </w:r>
          </w:p>
        </w:tc>
        <w:tc>
          <w:tcPr>
            <w:tcW w:w="0" w:type="auto"/>
            <w:shd w:val="clear" w:color="auto" w:fill="auto"/>
            <w:noWrap/>
            <w:vAlign w:val="center"/>
            <w:hideMark/>
          </w:tcPr>
          <w:p w14:paraId="62428B8D"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-1’800’580 </w:t>
            </w:r>
          </w:p>
        </w:tc>
        <w:tc>
          <w:tcPr>
            <w:tcW w:w="0" w:type="auto"/>
            <w:shd w:val="clear" w:color="auto" w:fill="auto"/>
            <w:noWrap/>
            <w:vAlign w:val="center"/>
            <w:hideMark/>
          </w:tcPr>
          <w:p w14:paraId="2DF07E8F"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10 </w:t>
            </w:r>
          </w:p>
        </w:tc>
        <w:tc>
          <w:tcPr>
            <w:tcW w:w="0" w:type="auto"/>
            <w:shd w:val="clear" w:color="auto" w:fill="auto"/>
            <w:noWrap/>
            <w:vAlign w:val="center"/>
            <w:hideMark/>
          </w:tcPr>
          <w:p w14:paraId="7E3401B9"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-104’621 </w:t>
            </w:r>
          </w:p>
        </w:tc>
        <w:tc>
          <w:tcPr>
            <w:tcW w:w="0" w:type="auto"/>
            <w:shd w:val="clear" w:color="auto" w:fill="auto"/>
            <w:noWrap/>
            <w:vAlign w:val="center"/>
            <w:hideMark/>
          </w:tcPr>
          <w:p w14:paraId="2C3304E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 </w:t>
            </w:r>
          </w:p>
        </w:tc>
        <w:tc>
          <w:tcPr>
            <w:tcW w:w="0" w:type="auto"/>
            <w:shd w:val="clear" w:color="auto" w:fill="auto"/>
            <w:noWrap/>
            <w:vAlign w:val="center"/>
            <w:hideMark/>
          </w:tcPr>
          <w:p w14:paraId="3C4EEA27"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-1’653’764 </w:t>
            </w:r>
          </w:p>
        </w:tc>
        <w:tc>
          <w:tcPr>
            <w:tcW w:w="0" w:type="auto"/>
            <w:shd w:val="clear" w:color="auto" w:fill="auto"/>
            <w:noWrap/>
            <w:vAlign w:val="center"/>
            <w:hideMark/>
          </w:tcPr>
          <w:p w14:paraId="3A79BFC5"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c>
          <w:tcPr>
            <w:tcW w:w="0" w:type="auto"/>
            <w:shd w:val="clear" w:color="auto" w:fill="auto"/>
            <w:noWrap/>
            <w:vAlign w:val="center"/>
            <w:hideMark/>
          </w:tcPr>
          <w:p w14:paraId="6BBECE18"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-366’087 </w:t>
            </w:r>
          </w:p>
        </w:tc>
        <w:tc>
          <w:tcPr>
            <w:tcW w:w="0" w:type="auto"/>
            <w:shd w:val="clear" w:color="auto" w:fill="auto"/>
            <w:noWrap/>
            <w:vAlign w:val="center"/>
            <w:hideMark/>
          </w:tcPr>
          <w:p w14:paraId="11F54D48"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 </w:t>
            </w:r>
          </w:p>
        </w:tc>
      </w:tr>
      <w:tr w:rsidR="00DD468E" w:rsidRPr="006E4B01" w14:paraId="4B9D7023" w14:textId="77777777" w:rsidTr="00AE159B">
        <w:trPr>
          <w:trHeight w:val="329"/>
        </w:trPr>
        <w:tc>
          <w:tcPr>
            <w:tcW w:w="0" w:type="auto"/>
            <w:shd w:val="clear" w:color="auto" w:fill="auto"/>
            <w:noWrap/>
            <w:vAlign w:val="center"/>
            <w:hideMark/>
          </w:tcPr>
          <w:p w14:paraId="1706E702" w14:textId="77777777" w:rsidR="00DD468E" w:rsidRPr="006E4B01" w:rsidRDefault="00DD468E" w:rsidP="00AE159B">
            <w:pPr>
              <w:spacing w:line="240" w:lineRule="auto"/>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HEI &gt;100</w:t>
            </w:r>
          </w:p>
        </w:tc>
        <w:tc>
          <w:tcPr>
            <w:tcW w:w="0" w:type="auto"/>
            <w:shd w:val="clear" w:color="auto" w:fill="auto"/>
            <w:noWrap/>
            <w:vAlign w:val="center"/>
            <w:hideMark/>
          </w:tcPr>
          <w:p w14:paraId="7ED8EEF2"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53’588’270 </w:t>
            </w:r>
          </w:p>
        </w:tc>
        <w:tc>
          <w:tcPr>
            <w:tcW w:w="0" w:type="auto"/>
            <w:shd w:val="clear" w:color="auto" w:fill="auto"/>
            <w:noWrap/>
            <w:vAlign w:val="center"/>
            <w:hideMark/>
          </w:tcPr>
          <w:p w14:paraId="6353B518"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35 </w:t>
            </w:r>
          </w:p>
        </w:tc>
        <w:tc>
          <w:tcPr>
            <w:tcW w:w="0" w:type="auto"/>
            <w:shd w:val="clear" w:color="auto" w:fill="auto"/>
            <w:noWrap/>
            <w:vAlign w:val="center"/>
            <w:hideMark/>
          </w:tcPr>
          <w:p w14:paraId="1D574B3D"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13 </w:t>
            </w:r>
          </w:p>
        </w:tc>
        <w:tc>
          <w:tcPr>
            <w:tcW w:w="0" w:type="auto"/>
            <w:shd w:val="clear" w:color="auto" w:fill="auto"/>
            <w:noWrap/>
            <w:vAlign w:val="center"/>
            <w:hideMark/>
          </w:tcPr>
          <w:p w14:paraId="38EE1DC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-2’026’144 </w:t>
            </w:r>
          </w:p>
        </w:tc>
        <w:tc>
          <w:tcPr>
            <w:tcW w:w="0" w:type="auto"/>
            <w:shd w:val="clear" w:color="auto" w:fill="auto"/>
            <w:noWrap/>
            <w:vAlign w:val="center"/>
            <w:hideMark/>
          </w:tcPr>
          <w:p w14:paraId="21F8509A"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6 </w:t>
            </w:r>
          </w:p>
        </w:tc>
        <w:tc>
          <w:tcPr>
            <w:tcW w:w="0" w:type="auto"/>
            <w:shd w:val="clear" w:color="auto" w:fill="auto"/>
            <w:noWrap/>
            <w:vAlign w:val="center"/>
            <w:hideMark/>
          </w:tcPr>
          <w:p w14:paraId="4E38F577"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-270’462 </w:t>
            </w:r>
          </w:p>
        </w:tc>
        <w:tc>
          <w:tcPr>
            <w:tcW w:w="0" w:type="auto"/>
            <w:shd w:val="clear" w:color="auto" w:fill="auto"/>
            <w:noWrap/>
            <w:vAlign w:val="center"/>
            <w:hideMark/>
          </w:tcPr>
          <w:p w14:paraId="7A2DC80B"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 </w:t>
            </w:r>
          </w:p>
        </w:tc>
        <w:tc>
          <w:tcPr>
            <w:tcW w:w="0" w:type="auto"/>
            <w:shd w:val="clear" w:color="auto" w:fill="auto"/>
            <w:noWrap/>
            <w:vAlign w:val="center"/>
            <w:hideMark/>
          </w:tcPr>
          <w:p w14:paraId="49604AD4"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-1’537’782 </w:t>
            </w:r>
          </w:p>
        </w:tc>
        <w:tc>
          <w:tcPr>
            <w:tcW w:w="0" w:type="auto"/>
            <w:shd w:val="clear" w:color="auto" w:fill="auto"/>
            <w:noWrap/>
            <w:vAlign w:val="center"/>
            <w:hideMark/>
          </w:tcPr>
          <w:p w14:paraId="0E23722C"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3 </w:t>
            </w:r>
          </w:p>
        </w:tc>
        <w:tc>
          <w:tcPr>
            <w:tcW w:w="0" w:type="auto"/>
            <w:shd w:val="clear" w:color="auto" w:fill="auto"/>
            <w:noWrap/>
            <w:vAlign w:val="center"/>
            <w:hideMark/>
          </w:tcPr>
          <w:p w14:paraId="00DFBC95"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-898’763 </w:t>
            </w:r>
          </w:p>
        </w:tc>
        <w:tc>
          <w:tcPr>
            <w:tcW w:w="0" w:type="auto"/>
            <w:shd w:val="clear" w:color="auto" w:fill="auto"/>
            <w:noWrap/>
            <w:vAlign w:val="center"/>
            <w:hideMark/>
          </w:tcPr>
          <w:p w14:paraId="22525541" w14:textId="77777777" w:rsidR="00DD468E" w:rsidRPr="006E4B01" w:rsidRDefault="00DD468E" w:rsidP="00AE159B">
            <w:pPr>
              <w:spacing w:line="240" w:lineRule="auto"/>
              <w:jc w:val="right"/>
              <w:rPr>
                <w:rFonts w:eastAsia="Times New Roman" w:cstheme="minorHAnsi"/>
                <w:bCs w:val="0"/>
                <w:spacing w:val="0"/>
                <w:sz w:val="16"/>
                <w:szCs w:val="16"/>
                <w:lang w:eastAsia="de-CH"/>
              </w:rPr>
            </w:pPr>
            <w:r w:rsidRPr="006E4B01">
              <w:rPr>
                <w:rFonts w:eastAsia="Times New Roman" w:cstheme="minorHAnsi"/>
                <w:bCs w:val="0"/>
                <w:spacing w:val="0"/>
                <w:sz w:val="16"/>
                <w:szCs w:val="16"/>
                <w:lang w:eastAsia="de-CH"/>
              </w:rPr>
              <w:t xml:space="preserve">        2 </w:t>
            </w:r>
          </w:p>
        </w:tc>
      </w:tr>
      <w:tr w:rsidR="00DD468E" w:rsidRPr="006E4B01" w14:paraId="22DF60C0" w14:textId="77777777" w:rsidTr="00AE159B">
        <w:trPr>
          <w:trHeight w:val="329"/>
        </w:trPr>
        <w:tc>
          <w:tcPr>
            <w:tcW w:w="0" w:type="auto"/>
            <w:shd w:val="clear" w:color="auto" w:fill="auto"/>
            <w:noWrap/>
            <w:vAlign w:val="center"/>
            <w:hideMark/>
          </w:tcPr>
          <w:p w14:paraId="71E3C5AB" w14:textId="77777777" w:rsidR="00DD468E" w:rsidRPr="006E4B01" w:rsidRDefault="00DD468E" w:rsidP="00AE159B">
            <w:pPr>
              <w:spacing w:line="240" w:lineRule="auto"/>
              <w:rPr>
                <w:rFonts w:eastAsia="Times New Roman" w:cstheme="minorHAnsi"/>
                <w:b/>
                <w:spacing w:val="0"/>
                <w:sz w:val="16"/>
                <w:szCs w:val="16"/>
                <w:lang w:eastAsia="de-CH"/>
              </w:rPr>
            </w:pPr>
            <w:r w:rsidRPr="006E4B01">
              <w:rPr>
                <w:rFonts w:eastAsia="Times New Roman" w:cstheme="minorHAnsi"/>
                <w:b/>
                <w:spacing w:val="0"/>
                <w:sz w:val="16"/>
                <w:szCs w:val="16"/>
                <w:lang w:eastAsia="de-CH"/>
              </w:rPr>
              <w:t> </w:t>
            </w:r>
          </w:p>
        </w:tc>
        <w:tc>
          <w:tcPr>
            <w:tcW w:w="0" w:type="auto"/>
            <w:shd w:val="clear" w:color="auto" w:fill="auto"/>
            <w:noWrap/>
            <w:vAlign w:val="center"/>
            <w:hideMark/>
          </w:tcPr>
          <w:p w14:paraId="4A231646"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145’792’725 </w:t>
            </w:r>
          </w:p>
        </w:tc>
        <w:tc>
          <w:tcPr>
            <w:tcW w:w="0" w:type="auto"/>
            <w:shd w:val="clear" w:color="auto" w:fill="auto"/>
            <w:noWrap/>
            <w:vAlign w:val="center"/>
            <w:hideMark/>
          </w:tcPr>
          <w:p w14:paraId="3F1A5DA9"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193 </w:t>
            </w:r>
          </w:p>
        </w:tc>
        <w:tc>
          <w:tcPr>
            <w:tcW w:w="0" w:type="auto"/>
            <w:shd w:val="clear" w:color="auto" w:fill="auto"/>
            <w:noWrap/>
            <w:vAlign w:val="center"/>
            <w:hideMark/>
          </w:tcPr>
          <w:p w14:paraId="7187FB40"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89 </w:t>
            </w:r>
          </w:p>
        </w:tc>
        <w:tc>
          <w:tcPr>
            <w:tcW w:w="0" w:type="auto"/>
            <w:shd w:val="clear" w:color="auto" w:fill="auto"/>
            <w:noWrap/>
            <w:vAlign w:val="center"/>
            <w:hideMark/>
          </w:tcPr>
          <w:p w14:paraId="08BEC4CF"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-4’364’117 </w:t>
            </w:r>
          </w:p>
        </w:tc>
        <w:tc>
          <w:tcPr>
            <w:tcW w:w="0" w:type="auto"/>
            <w:shd w:val="clear" w:color="auto" w:fill="auto"/>
            <w:noWrap/>
            <w:vAlign w:val="center"/>
            <w:hideMark/>
          </w:tcPr>
          <w:p w14:paraId="1990E4BC"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30 </w:t>
            </w:r>
          </w:p>
        </w:tc>
        <w:tc>
          <w:tcPr>
            <w:tcW w:w="0" w:type="auto"/>
            <w:shd w:val="clear" w:color="auto" w:fill="auto"/>
            <w:noWrap/>
            <w:vAlign w:val="center"/>
            <w:hideMark/>
          </w:tcPr>
          <w:p w14:paraId="66A3C83A"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-820’626 </w:t>
            </w:r>
          </w:p>
        </w:tc>
        <w:tc>
          <w:tcPr>
            <w:tcW w:w="0" w:type="auto"/>
            <w:shd w:val="clear" w:color="auto" w:fill="auto"/>
            <w:noWrap/>
            <w:vAlign w:val="center"/>
            <w:hideMark/>
          </w:tcPr>
          <w:p w14:paraId="3445414C"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8 </w:t>
            </w:r>
          </w:p>
        </w:tc>
        <w:tc>
          <w:tcPr>
            <w:tcW w:w="0" w:type="auto"/>
            <w:shd w:val="clear" w:color="auto" w:fill="auto"/>
            <w:noWrap/>
            <w:vAlign w:val="center"/>
            <w:hideMark/>
          </w:tcPr>
          <w:p w14:paraId="5FE6CD7C"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-3’283’968 </w:t>
            </w:r>
          </w:p>
        </w:tc>
        <w:tc>
          <w:tcPr>
            <w:tcW w:w="0" w:type="auto"/>
            <w:shd w:val="clear" w:color="auto" w:fill="auto"/>
            <w:noWrap/>
            <w:vAlign w:val="center"/>
            <w:hideMark/>
          </w:tcPr>
          <w:p w14:paraId="3465F5D3"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7 </w:t>
            </w:r>
          </w:p>
        </w:tc>
        <w:tc>
          <w:tcPr>
            <w:tcW w:w="0" w:type="auto"/>
            <w:shd w:val="clear" w:color="auto" w:fill="auto"/>
            <w:noWrap/>
            <w:vAlign w:val="center"/>
            <w:hideMark/>
          </w:tcPr>
          <w:p w14:paraId="46946915"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-3’657’705 </w:t>
            </w:r>
          </w:p>
        </w:tc>
        <w:tc>
          <w:tcPr>
            <w:tcW w:w="0" w:type="auto"/>
            <w:shd w:val="clear" w:color="auto" w:fill="auto"/>
            <w:noWrap/>
            <w:vAlign w:val="center"/>
            <w:hideMark/>
          </w:tcPr>
          <w:p w14:paraId="469024C4" w14:textId="77777777" w:rsidR="00DD468E" w:rsidRPr="006E4B01" w:rsidRDefault="00DD468E" w:rsidP="00AE159B">
            <w:pPr>
              <w:spacing w:line="240" w:lineRule="auto"/>
              <w:jc w:val="right"/>
              <w:rPr>
                <w:rFonts w:eastAsia="Times New Roman" w:cstheme="minorHAnsi"/>
                <w:b/>
                <w:spacing w:val="0"/>
                <w:sz w:val="16"/>
                <w:szCs w:val="16"/>
                <w:lang w:eastAsia="de-CH"/>
              </w:rPr>
            </w:pPr>
            <w:r w:rsidRPr="006E4B01">
              <w:rPr>
                <w:rFonts w:eastAsia="Times New Roman" w:cstheme="minorHAnsi"/>
                <w:b/>
                <w:spacing w:val="0"/>
                <w:sz w:val="16"/>
                <w:szCs w:val="16"/>
                <w:lang w:eastAsia="de-CH"/>
              </w:rPr>
              <w:t xml:space="preserve">      10 </w:t>
            </w:r>
          </w:p>
        </w:tc>
      </w:tr>
    </w:tbl>
    <w:p w14:paraId="4917E193" w14:textId="7AFB54AF" w:rsidR="004E4BBE" w:rsidRPr="00A5344E" w:rsidRDefault="004E4BBE" w:rsidP="004E4BBE">
      <w:pPr>
        <w:rPr>
          <w:rFonts w:asciiTheme="majorHAnsi" w:hAnsiTheme="majorHAnsi" w:cstheme="majorHAnsi"/>
          <w:highlight w:val="yellow"/>
        </w:rPr>
      </w:pPr>
    </w:p>
    <w:p w14:paraId="5446617D" w14:textId="77777777" w:rsidR="00406B6D" w:rsidRDefault="00406B6D" w:rsidP="004E4BBE">
      <w:pPr>
        <w:rPr>
          <w:rFonts w:asciiTheme="majorHAnsi" w:hAnsiTheme="majorHAnsi" w:cstheme="majorHAnsi"/>
          <w:highlight w:val="yellow"/>
        </w:rPr>
      </w:pPr>
    </w:p>
    <w:p w14:paraId="50F74255" w14:textId="52F0F56C" w:rsidR="00DC432E" w:rsidRPr="00DC432E" w:rsidRDefault="00DC432E" w:rsidP="00DC432E">
      <w:pPr>
        <w:rPr>
          <w:rFonts w:asciiTheme="majorHAnsi" w:hAnsiTheme="majorHAnsi" w:cstheme="majorHAnsi"/>
        </w:rPr>
      </w:pPr>
      <w:r w:rsidRPr="00DC432E">
        <w:rPr>
          <w:rFonts w:asciiTheme="majorHAnsi" w:hAnsiTheme="majorHAnsi" w:cstheme="majorHAnsi"/>
        </w:rPr>
        <w:br w:type="page"/>
      </w:r>
    </w:p>
    <w:p w14:paraId="28E4C2F5" w14:textId="335856AC" w:rsidR="00406B6D" w:rsidRPr="00A5344E" w:rsidRDefault="00406B6D" w:rsidP="00406B6D">
      <w:pPr>
        <w:rPr>
          <w:rFonts w:asciiTheme="majorHAnsi" w:hAnsiTheme="majorHAnsi" w:cstheme="majorHAnsi"/>
        </w:rPr>
      </w:pPr>
      <w:r w:rsidRPr="008256D9">
        <w:rPr>
          <w:rFonts w:asciiTheme="majorHAnsi" w:hAnsiTheme="majorHAnsi" w:cstheme="majorHAnsi"/>
        </w:rPr>
        <w:lastRenderedPageBreak/>
        <w:t xml:space="preserve">Aus </w:t>
      </w:r>
      <w:r w:rsidR="005D45ED" w:rsidRPr="008256D9">
        <w:rPr>
          <w:rFonts w:asciiTheme="majorHAnsi" w:hAnsiTheme="majorHAnsi" w:cstheme="majorHAnsi"/>
        </w:rPr>
        <w:t>Abbildung</w:t>
      </w:r>
      <w:r w:rsidR="00DC432E" w:rsidRPr="008256D9">
        <w:rPr>
          <w:rFonts w:asciiTheme="majorHAnsi" w:hAnsiTheme="majorHAnsi" w:cstheme="majorHAnsi"/>
        </w:rPr>
        <w:t xml:space="preserve"> </w:t>
      </w:r>
      <w:r w:rsidRPr="008256D9">
        <w:rPr>
          <w:rFonts w:asciiTheme="majorHAnsi" w:hAnsiTheme="majorHAnsi" w:cstheme="majorHAnsi"/>
        </w:rPr>
        <w:t xml:space="preserve">13 ist </w:t>
      </w:r>
      <w:r w:rsidRPr="00A5344E">
        <w:rPr>
          <w:rFonts w:asciiTheme="majorHAnsi" w:hAnsiTheme="majorHAnsi" w:cstheme="majorHAnsi"/>
        </w:rPr>
        <w:t>ersichtlich, dass</w:t>
      </w:r>
    </w:p>
    <w:p w14:paraId="6B17F077" w14:textId="2C5C3868"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sich die Ertragsüberschüsse auf insgesamt CHF 145,8 Millionen und die Aufwandüberschüsse</w:t>
      </w:r>
      <w:r w:rsidRPr="00A5344E">
        <w:rPr>
          <w:rFonts w:asciiTheme="majorHAnsi" w:hAnsiTheme="majorHAnsi" w:cstheme="majorHAnsi"/>
        </w:rPr>
        <w:br/>
        <w:t>auf CHF 12,1 Millionen beliefen,</w:t>
      </w:r>
    </w:p>
    <w:p w14:paraId="1070FFAB" w14:textId="15E5DBBD"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89 Gemeinden ein ausgeglichenes Rechnungsergebnis auswiesen,</w:t>
      </w:r>
    </w:p>
    <w:p w14:paraId="5A0CEF1A" w14:textId="034D9C20"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aus der Verteilung der Rechnungsergebnisse 2023 auf die HEI-Kategorien keine eindeutige</w:t>
      </w:r>
      <w:r w:rsidRPr="00A5344E">
        <w:rPr>
          <w:rFonts w:asciiTheme="majorHAnsi" w:hAnsiTheme="majorHAnsi" w:cstheme="majorHAnsi"/>
        </w:rPr>
        <w:br/>
        <w:t>Tendenz erkennbar ist,</w:t>
      </w:r>
    </w:p>
    <w:p w14:paraId="3D3DAA30" w14:textId="054D2930"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die Steuerkraft demzufolge im Jahr 2023 offenbar keinen signifikanten Einfluss auf die</w:t>
      </w:r>
      <w:r w:rsidRPr="00A5344E">
        <w:rPr>
          <w:rFonts w:asciiTheme="majorHAnsi" w:hAnsiTheme="majorHAnsi" w:cstheme="majorHAnsi"/>
        </w:rPr>
        <w:br/>
        <w:t>Ergebnisse hatte,</w:t>
      </w:r>
    </w:p>
    <w:p w14:paraId="01B6C2F1" w14:textId="28301791"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rund 7</w:t>
      </w:r>
      <w:r w:rsidR="002E6AF5" w:rsidRPr="00A5344E">
        <w:rPr>
          <w:rFonts w:asciiTheme="majorHAnsi" w:hAnsiTheme="majorHAnsi" w:cstheme="majorHAnsi"/>
        </w:rPr>
        <w:t>2</w:t>
      </w:r>
      <w:r w:rsidRPr="00A5344E">
        <w:rPr>
          <w:rFonts w:asciiTheme="majorHAnsi" w:hAnsiTheme="majorHAnsi" w:cstheme="majorHAnsi"/>
        </w:rPr>
        <w:t xml:space="preserve"> Prozent (CHF </w:t>
      </w:r>
      <w:r w:rsidR="002E6AF5" w:rsidRPr="00A5344E">
        <w:rPr>
          <w:rFonts w:asciiTheme="majorHAnsi" w:hAnsiTheme="majorHAnsi" w:cstheme="majorHAnsi"/>
        </w:rPr>
        <w:t>8,7</w:t>
      </w:r>
      <w:r w:rsidRPr="00A5344E">
        <w:rPr>
          <w:rFonts w:asciiTheme="majorHAnsi" w:hAnsiTheme="majorHAnsi" w:cstheme="majorHAnsi"/>
        </w:rPr>
        <w:t xml:space="preserve"> Mio.) der Aufwandüberschüsse in den Gemeinden mit einem HEI</w:t>
      </w:r>
      <w:r w:rsidRPr="00A5344E">
        <w:rPr>
          <w:rFonts w:asciiTheme="majorHAnsi" w:hAnsiTheme="majorHAnsi" w:cstheme="majorHAnsi"/>
        </w:rPr>
        <w:br/>
        <w:t>von über 80 anfielen,</w:t>
      </w:r>
    </w:p>
    <w:p w14:paraId="5B61404F" w14:textId="34376ECC" w:rsidR="00406B6D" w:rsidRPr="00A5344E" w:rsidRDefault="00406B6D" w:rsidP="00A513C6">
      <w:pPr>
        <w:pStyle w:val="Aufzhlungszeichen"/>
        <w:contextualSpacing w:val="0"/>
        <w:rPr>
          <w:rFonts w:asciiTheme="majorHAnsi" w:hAnsiTheme="majorHAnsi" w:cstheme="majorHAnsi"/>
        </w:rPr>
      </w:pPr>
      <w:r w:rsidRPr="00A5344E">
        <w:rPr>
          <w:rFonts w:asciiTheme="majorHAnsi" w:hAnsiTheme="majorHAnsi" w:cstheme="majorHAnsi"/>
        </w:rPr>
        <w:t xml:space="preserve">trotz den Kostensteigerungen bei den Lastenausgleichen (vgl. Kapitel </w:t>
      </w:r>
      <w:r w:rsidR="002E6AF5" w:rsidRPr="00A5344E">
        <w:rPr>
          <w:rFonts w:asciiTheme="majorHAnsi" w:hAnsiTheme="majorHAnsi" w:cstheme="majorHAnsi"/>
        </w:rPr>
        <w:t>4.2</w:t>
      </w:r>
      <w:r w:rsidRPr="00A5344E">
        <w:rPr>
          <w:rFonts w:asciiTheme="majorHAnsi" w:hAnsiTheme="majorHAnsi" w:cstheme="majorHAnsi"/>
        </w:rPr>
        <w:t xml:space="preserve">) </w:t>
      </w:r>
      <w:r w:rsidR="002E6AF5" w:rsidRPr="00A5344E">
        <w:rPr>
          <w:rFonts w:asciiTheme="majorHAnsi" w:hAnsiTheme="majorHAnsi" w:cstheme="majorHAnsi"/>
        </w:rPr>
        <w:t>21</w:t>
      </w:r>
      <w:r w:rsidRPr="00A5344E">
        <w:rPr>
          <w:rFonts w:asciiTheme="majorHAnsi" w:hAnsiTheme="majorHAnsi" w:cstheme="majorHAnsi"/>
        </w:rPr>
        <w:t xml:space="preserve"> von </w:t>
      </w:r>
      <w:r w:rsidRPr="00A5344E">
        <w:rPr>
          <w:rFonts w:asciiTheme="majorHAnsi" w:hAnsiTheme="majorHAnsi" w:cstheme="majorHAnsi"/>
        </w:rPr>
        <w:br/>
        <w:t>3</w:t>
      </w:r>
      <w:r w:rsidR="002E6AF5" w:rsidRPr="00A5344E">
        <w:rPr>
          <w:rFonts w:asciiTheme="majorHAnsi" w:hAnsiTheme="majorHAnsi" w:cstheme="majorHAnsi"/>
        </w:rPr>
        <w:t>8</w:t>
      </w:r>
      <w:r w:rsidRPr="00A5344E">
        <w:rPr>
          <w:rFonts w:asciiTheme="majorHAnsi" w:hAnsiTheme="majorHAnsi" w:cstheme="majorHAnsi"/>
        </w:rPr>
        <w:t xml:space="preserve"> Gemeinden mit einem HEI kleiner 60 ein positives Rechnungsergebnis 202</w:t>
      </w:r>
      <w:r w:rsidR="002E6AF5" w:rsidRPr="00A5344E">
        <w:rPr>
          <w:rFonts w:asciiTheme="majorHAnsi" w:hAnsiTheme="majorHAnsi" w:cstheme="majorHAnsi"/>
        </w:rPr>
        <w:t>3</w:t>
      </w:r>
      <w:r w:rsidRPr="00A5344E">
        <w:rPr>
          <w:rFonts w:asciiTheme="majorHAnsi" w:hAnsiTheme="majorHAnsi" w:cstheme="majorHAnsi"/>
        </w:rPr>
        <w:t xml:space="preserve"> erzielen konnten.</w:t>
      </w:r>
    </w:p>
    <w:p w14:paraId="3CED0FB6" w14:textId="77777777" w:rsidR="00406B6D" w:rsidRPr="00A5344E" w:rsidRDefault="00406B6D" w:rsidP="00406B6D">
      <w:pPr>
        <w:rPr>
          <w:rFonts w:asciiTheme="majorHAnsi" w:hAnsiTheme="majorHAnsi" w:cstheme="majorHAnsi"/>
        </w:rPr>
      </w:pPr>
    </w:p>
    <w:p w14:paraId="6D809101" w14:textId="1F17F0AD" w:rsidR="00406B6D" w:rsidRPr="00A5344E" w:rsidRDefault="00406B6D" w:rsidP="00406B6D">
      <w:pPr>
        <w:rPr>
          <w:rFonts w:asciiTheme="majorHAnsi" w:hAnsiTheme="majorHAnsi" w:cstheme="majorHAnsi"/>
        </w:rPr>
      </w:pPr>
      <w:r w:rsidRPr="00A5344E">
        <w:rPr>
          <w:rFonts w:asciiTheme="majorHAnsi" w:hAnsiTheme="majorHAnsi" w:cstheme="majorHAnsi"/>
        </w:rPr>
        <w:t>Hinweis: Mit dem im Jahr 2016 eingeführten harmonisierten Rechnungsmodell 2 (HRM2) müssen die bernischen Gemeinden zusätzliche Abschreibungen vornehmen, wenn im entsprechenden Rechnungs-jahr in der Erfolgsrechnung ein Ertragsüberschuss ausgewiesen wird und die ordentlichen Abschreibun-gen kleiner als die Nettoinvestitionen sind. Diese Bestimmung hat zur Folge, dass verhältnismässig viele Gemeinden ein ausgeglichenes Rechnungsergebnis erzielen.</w:t>
      </w:r>
    </w:p>
    <w:p w14:paraId="7847D609" w14:textId="77777777" w:rsidR="00406B6D" w:rsidRPr="00A5344E" w:rsidRDefault="00406B6D" w:rsidP="00406B6D">
      <w:pPr>
        <w:rPr>
          <w:rFonts w:asciiTheme="majorHAnsi" w:hAnsiTheme="majorHAnsi" w:cstheme="majorHAnsi"/>
        </w:rPr>
      </w:pPr>
    </w:p>
    <w:p w14:paraId="5C90280A" w14:textId="6C484184" w:rsidR="00406B6D" w:rsidRPr="00A5344E" w:rsidRDefault="00406B6D" w:rsidP="00406B6D">
      <w:pPr>
        <w:rPr>
          <w:rFonts w:asciiTheme="majorHAnsi" w:hAnsiTheme="majorHAnsi" w:cstheme="majorHAnsi"/>
          <w:highlight w:val="yellow"/>
        </w:rPr>
      </w:pPr>
      <w:r w:rsidRPr="00A5344E">
        <w:rPr>
          <w:rFonts w:asciiTheme="majorHAnsi" w:hAnsiTheme="majorHAnsi" w:cstheme="majorHAnsi"/>
        </w:rPr>
        <w:t>Im Rechnungsjahr 202</w:t>
      </w:r>
      <w:r w:rsidR="00514B1C" w:rsidRPr="00A5344E">
        <w:rPr>
          <w:rFonts w:asciiTheme="majorHAnsi" w:hAnsiTheme="majorHAnsi" w:cstheme="majorHAnsi"/>
        </w:rPr>
        <w:t>3</w:t>
      </w:r>
      <w:r w:rsidRPr="00A5344E">
        <w:rPr>
          <w:rFonts w:asciiTheme="majorHAnsi" w:hAnsiTheme="majorHAnsi" w:cstheme="majorHAnsi"/>
        </w:rPr>
        <w:t xml:space="preserve"> verbuchten 1</w:t>
      </w:r>
      <w:r w:rsidR="00514B1C" w:rsidRPr="00A5344E">
        <w:rPr>
          <w:rFonts w:asciiTheme="majorHAnsi" w:hAnsiTheme="majorHAnsi" w:cstheme="majorHAnsi"/>
        </w:rPr>
        <w:t>5</w:t>
      </w:r>
      <w:r w:rsidRPr="00A5344E">
        <w:rPr>
          <w:rFonts w:asciiTheme="majorHAnsi" w:hAnsiTheme="majorHAnsi" w:cstheme="majorHAnsi"/>
        </w:rPr>
        <w:t>6 Gemeinden (202</w:t>
      </w:r>
      <w:r w:rsidR="00514B1C" w:rsidRPr="00A5344E">
        <w:rPr>
          <w:rFonts w:asciiTheme="majorHAnsi" w:hAnsiTheme="majorHAnsi" w:cstheme="majorHAnsi"/>
        </w:rPr>
        <w:t>2</w:t>
      </w:r>
      <w:r w:rsidRPr="00A5344E">
        <w:rPr>
          <w:rFonts w:asciiTheme="majorHAnsi" w:hAnsiTheme="majorHAnsi" w:cstheme="majorHAnsi"/>
        </w:rPr>
        <w:t>: 1</w:t>
      </w:r>
      <w:r w:rsidR="00514B1C" w:rsidRPr="00A5344E">
        <w:rPr>
          <w:rFonts w:asciiTheme="majorHAnsi" w:hAnsiTheme="majorHAnsi" w:cstheme="majorHAnsi"/>
        </w:rPr>
        <w:t>64</w:t>
      </w:r>
      <w:r w:rsidRPr="00A5344E">
        <w:rPr>
          <w:rFonts w:asciiTheme="majorHAnsi" w:hAnsiTheme="majorHAnsi" w:cstheme="majorHAnsi"/>
        </w:rPr>
        <w:t xml:space="preserve">) zusätzliche Abschreibungen in der Hö-he von insgesamt CHF </w:t>
      </w:r>
      <w:r w:rsidR="00514B1C" w:rsidRPr="00A5344E">
        <w:rPr>
          <w:rFonts w:asciiTheme="majorHAnsi" w:hAnsiTheme="majorHAnsi" w:cstheme="majorHAnsi"/>
        </w:rPr>
        <w:t>80,8</w:t>
      </w:r>
      <w:r w:rsidRPr="00A5344E">
        <w:rPr>
          <w:rFonts w:asciiTheme="majorHAnsi" w:hAnsiTheme="majorHAnsi" w:cstheme="majorHAnsi"/>
        </w:rPr>
        <w:t xml:space="preserve"> Millionen (202</w:t>
      </w:r>
      <w:r w:rsidR="00514B1C" w:rsidRPr="00A5344E">
        <w:rPr>
          <w:rFonts w:asciiTheme="majorHAnsi" w:hAnsiTheme="majorHAnsi" w:cstheme="majorHAnsi"/>
        </w:rPr>
        <w:t>2</w:t>
      </w:r>
      <w:r w:rsidRPr="00A5344E">
        <w:rPr>
          <w:rFonts w:asciiTheme="majorHAnsi" w:hAnsiTheme="majorHAnsi" w:cstheme="majorHAnsi"/>
        </w:rPr>
        <w:t xml:space="preserve">: CHF </w:t>
      </w:r>
      <w:r w:rsidR="00514B1C" w:rsidRPr="00A5344E">
        <w:rPr>
          <w:rFonts w:asciiTheme="majorHAnsi" w:hAnsiTheme="majorHAnsi" w:cstheme="majorHAnsi"/>
        </w:rPr>
        <w:t>75,0</w:t>
      </w:r>
      <w:r w:rsidRPr="00A5344E">
        <w:rPr>
          <w:rFonts w:asciiTheme="majorHAnsi" w:hAnsiTheme="majorHAnsi" w:cstheme="majorHAnsi"/>
        </w:rPr>
        <w:t xml:space="preserve"> Mio.). Ohne Berücksichtigung dieser zusätzlichen Abschreibungen weisen noch 2</w:t>
      </w:r>
      <w:r w:rsidR="00514B1C" w:rsidRPr="00A5344E">
        <w:rPr>
          <w:rFonts w:asciiTheme="majorHAnsi" w:hAnsiTheme="majorHAnsi" w:cstheme="majorHAnsi"/>
        </w:rPr>
        <w:t>4</w:t>
      </w:r>
      <w:r w:rsidRPr="00A5344E">
        <w:rPr>
          <w:rFonts w:asciiTheme="majorHAnsi" w:hAnsiTheme="majorHAnsi" w:cstheme="majorHAnsi"/>
        </w:rPr>
        <w:t xml:space="preserve"> Gemeinden (202</w:t>
      </w:r>
      <w:r w:rsidR="00514B1C" w:rsidRPr="00A5344E">
        <w:rPr>
          <w:rFonts w:asciiTheme="majorHAnsi" w:hAnsiTheme="majorHAnsi" w:cstheme="majorHAnsi"/>
        </w:rPr>
        <w:t>2</w:t>
      </w:r>
      <w:r w:rsidRPr="00A5344E">
        <w:rPr>
          <w:rFonts w:asciiTheme="majorHAnsi" w:hAnsiTheme="majorHAnsi" w:cstheme="majorHAnsi"/>
        </w:rPr>
        <w:t>: 2</w:t>
      </w:r>
      <w:r w:rsidR="00514B1C" w:rsidRPr="00A5344E">
        <w:rPr>
          <w:rFonts w:asciiTheme="majorHAnsi" w:hAnsiTheme="majorHAnsi" w:cstheme="majorHAnsi"/>
        </w:rPr>
        <w:t>2</w:t>
      </w:r>
      <w:r w:rsidRPr="00A5344E">
        <w:rPr>
          <w:rFonts w:asciiTheme="majorHAnsi" w:hAnsiTheme="majorHAnsi" w:cstheme="majorHAnsi"/>
        </w:rPr>
        <w:t>) ein ausgeglichenes Rechnungsergebnis aus</w:t>
      </w:r>
    </w:p>
    <w:p w14:paraId="0B8A6CE2" w14:textId="2A353012" w:rsidR="001E0DF4" w:rsidRPr="00A5344E" w:rsidRDefault="001E0DF4" w:rsidP="001E0DF4">
      <w:pPr>
        <w:pStyle w:val="H1"/>
        <w:rPr>
          <w:rFonts w:cstheme="majorHAnsi"/>
        </w:rPr>
      </w:pPr>
      <w:bookmarkStart w:id="52" w:name="_Toc191888253"/>
      <w:r w:rsidRPr="00A5344E">
        <w:rPr>
          <w:rFonts w:cstheme="majorHAnsi"/>
        </w:rPr>
        <w:t>Zusammenfassung und Schlussfolgerung</w:t>
      </w:r>
      <w:bookmarkEnd w:id="52"/>
    </w:p>
    <w:p w14:paraId="57F7E926" w14:textId="342426A5" w:rsidR="001E0DF4" w:rsidRPr="00A5344E" w:rsidRDefault="001E0DF4" w:rsidP="00827FD3">
      <w:pPr>
        <w:rPr>
          <w:rFonts w:asciiTheme="majorHAnsi" w:hAnsiTheme="majorHAnsi" w:cstheme="majorHAnsi"/>
          <w:szCs w:val="21"/>
        </w:rPr>
      </w:pPr>
      <w:r w:rsidRPr="00A5344E">
        <w:rPr>
          <w:rFonts w:asciiTheme="majorHAnsi" w:hAnsiTheme="majorHAnsi" w:cstheme="majorHAnsi"/>
          <w:szCs w:val="21"/>
        </w:rPr>
        <w:t>Zusammenfassend kann aufgrund der Laufenden Analyse 202</w:t>
      </w:r>
      <w:r w:rsidR="00827FD3" w:rsidRPr="00A5344E">
        <w:rPr>
          <w:rFonts w:asciiTheme="majorHAnsi" w:hAnsiTheme="majorHAnsi" w:cstheme="majorHAnsi"/>
          <w:szCs w:val="21"/>
        </w:rPr>
        <w:t>4</w:t>
      </w:r>
      <w:r w:rsidRPr="00A5344E">
        <w:rPr>
          <w:rFonts w:asciiTheme="majorHAnsi" w:hAnsiTheme="majorHAnsi" w:cstheme="majorHAnsi"/>
          <w:szCs w:val="21"/>
        </w:rPr>
        <w:t xml:space="preserve"> festgestellt werden, dass die in Art. 1 FILAG festgelegten Zielsetzungen,</w:t>
      </w:r>
      <w:r w:rsidR="00827FD3" w:rsidRPr="00A5344E">
        <w:rPr>
          <w:rFonts w:asciiTheme="majorHAnsi" w:hAnsiTheme="majorHAnsi" w:cstheme="majorHAnsi"/>
          <w:szCs w:val="21"/>
        </w:rPr>
        <w:t xml:space="preserve"> </w:t>
      </w:r>
      <w:r w:rsidRPr="00A5344E">
        <w:rPr>
          <w:rFonts w:asciiTheme="majorHAnsi" w:hAnsiTheme="majorHAnsi" w:cstheme="majorHAnsi"/>
          <w:szCs w:val="21"/>
        </w:rPr>
        <w:t>die Unterschiede in der finanziellen Leistungsfähigkeit und in der Belastung der Gemeinden zu mildern und</w:t>
      </w:r>
      <w:r w:rsidR="00827FD3" w:rsidRPr="00A5344E">
        <w:rPr>
          <w:rFonts w:asciiTheme="majorHAnsi" w:hAnsiTheme="majorHAnsi" w:cstheme="majorHAnsi"/>
          <w:szCs w:val="21"/>
        </w:rPr>
        <w:t xml:space="preserve"> </w:t>
      </w:r>
      <w:r w:rsidRPr="00A5344E">
        <w:rPr>
          <w:rFonts w:asciiTheme="majorHAnsi" w:hAnsiTheme="majorHAnsi" w:cstheme="majorHAnsi"/>
          <w:szCs w:val="21"/>
        </w:rPr>
        <w:t>ausgewogene Verhältnisse in der Steuerbelastung anzustreben,</w:t>
      </w:r>
    </w:p>
    <w:p w14:paraId="5CB849BE" w14:textId="78F08DEA" w:rsidR="001E0DF4" w:rsidRPr="00A5344E" w:rsidRDefault="001E0DF4" w:rsidP="001E0DF4">
      <w:pPr>
        <w:rPr>
          <w:rFonts w:asciiTheme="majorHAnsi" w:hAnsiTheme="majorHAnsi" w:cstheme="majorHAnsi"/>
          <w:szCs w:val="21"/>
        </w:rPr>
      </w:pPr>
      <w:r w:rsidRPr="00A5344E">
        <w:rPr>
          <w:rFonts w:asciiTheme="majorHAnsi" w:hAnsiTheme="majorHAnsi" w:cstheme="majorHAnsi"/>
          <w:szCs w:val="21"/>
        </w:rPr>
        <w:t>im Zeitraum 2020 bis 2024 grundsätzlich erreicht werden konnten.</w:t>
      </w:r>
    </w:p>
    <w:p w14:paraId="5021C3A4" w14:textId="77777777" w:rsidR="001E0DF4" w:rsidRPr="00A5344E" w:rsidRDefault="001E0DF4" w:rsidP="001E0DF4">
      <w:pPr>
        <w:rPr>
          <w:rFonts w:asciiTheme="majorHAnsi" w:hAnsiTheme="majorHAnsi" w:cstheme="majorHAnsi"/>
          <w:szCs w:val="21"/>
        </w:rPr>
      </w:pPr>
    </w:p>
    <w:p w14:paraId="24F1F04B" w14:textId="77777777" w:rsidR="001E0DF4" w:rsidRPr="00A5344E" w:rsidRDefault="001E0DF4" w:rsidP="00836EDF">
      <w:pPr>
        <w:rPr>
          <w:rFonts w:asciiTheme="majorHAnsi" w:hAnsiTheme="majorHAnsi" w:cstheme="majorHAnsi"/>
          <w:szCs w:val="21"/>
        </w:rPr>
      </w:pPr>
      <w:r w:rsidRPr="00A5344E">
        <w:rPr>
          <w:rFonts w:asciiTheme="majorHAnsi" w:hAnsiTheme="majorHAnsi" w:cstheme="majorHAnsi"/>
          <w:szCs w:val="21"/>
        </w:rPr>
        <w:t>Demzufolge besteht im Moment aus Sicht der Finanzverwaltung für die Feinsteuerung des FILAG durch den Regierungsrat kein unmittelbarer Handlungsbedarf.</w:t>
      </w:r>
    </w:p>
    <w:p w14:paraId="0FCF1E6A" w14:textId="77777777" w:rsidR="001E0DF4" w:rsidRPr="00A5344E" w:rsidRDefault="001E0DF4" w:rsidP="001E0DF4">
      <w:pPr>
        <w:rPr>
          <w:rFonts w:asciiTheme="majorHAnsi" w:hAnsiTheme="majorHAnsi" w:cstheme="majorHAnsi"/>
          <w:szCs w:val="21"/>
        </w:rPr>
      </w:pPr>
    </w:p>
    <w:p w14:paraId="4781096D" w14:textId="23CAF038" w:rsidR="001E0DF4" w:rsidRPr="00DC432E" w:rsidRDefault="001E0DF4" w:rsidP="00DC432E">
      <w:pPr>
        <w:rPr>
          <w:rFonts w:asciiTheme="majorHAnsi" w:hAnsiTheme="majorHAnsi" w:cstheme="majorHAnsi"/>
          <w:szCs w:val="21"/>
          <w:highlight w:val="yellow"/>
        </w:rPr>
      </w:pPr>
      <w:r w:rsidRPr="00DC432E">
        <w:rPr>
          <w:rFonts w:asciiTheme="majorHAnsi" w:hAnsiTheme="majorHAnsi" w:cstheme="majorHAnsi"/>
          <w:szCs w:val="21"/>
          <w:highlight w:val="yellow"/>
        </w:rPr>
        <w:br w:type="page"/>
      </w:r>
    </w:p>
    <w:p w14:paraId="1CC9172D" w14:textId="3538DBF5" w:rsidR="004E4BBE" w:rsidRPr="00A5344E" w:rsidRDefault="001E0DF4" w:rsidP="001E0DF4">
      <w:pPr>
        <w:pStyle w:val="H1"/>
        <w:numPr>
          <w:ilvl w:val="0"/>
          <w:numId w:val="0"/>
        </w:numPr>
        <w:ind w:left="851"/>
        <w:rPr>
          <w:rFonts w:cstheme="majorHAnsi"/>
        </w:rPr>
      </w:pPr>
      <w:bookmarkStart w:id="53" w:name="_Toc191888254"/>
      <w:r w:rsidRPr="00A5344E">
        <w:rPr>
          <w:rFonts w:cstheme="majorHAnsi"/>
        </w:rPr>
        <w:lastRenderedPageBreak/>
        <w:t>Anhang 1:</w:t>
      </w:r>
      <w:r w:rsidRPr="00A5344E">
        <w:rPr>
          <w:rFonts w:cstheme="majorHAnsi"/>
        </w:rPr>
        <w:tab/>
        <w:t>Rechtsgrundlagen</w:t>
      </w:r>
      <w:bookmarkEnd w:id="53"/>
    </w:p>
    <w:p w14:paraId="6D394650" w14:textId="77777777" w:rsidR="001E0DF4" w:rsidRPr="00A5344E" w:rsidRDefault="001E0DF4" w:rsidP="001E0DF4">
      <w:pPr>
        <w:pStyle w:val="berschrift4"/>
        <w:numPr>
          <w:ilvl w:val="0"/>
          <w:numId w:val="39"/>
        </w:numPr>
        <w:rPr>
          <w:rFonts w:cstheme="majorHAnsi"/>
        </w:rPr>
      </w:pPr>
      <w:r w:rsidRPr="00A5344E">
        <w:rPr>
          <w:rFonts w:cstheme="majorHAnsi"/>
        </w:rPr>
        <w:t>Zielsetzungen des FILAG</w:t>
      </w:r>
    </w:p>
    <w:p w14:paraId="494B6352" w14:textId="77777777" w:rsidR="001E0DF4" w:rsidRPr="00D323A8" w:rsidRDefault="001E0DF4" w:rsidP="00DC432E">
      <w:pPr>
        <w:rPr>
          <w:rFonts w:asciiTheme="majorHAnsi" w:hAnsiTheme="majorHAnsi" w:cstheme="majorHAnsi"/>
        </w:rPr>
      </w:pPr>
      <w:r w:rsidRPr="00D323A8">
        <w:rPr>
          <w:rFonts w:asciiTheme="majorHAnsi" w:hAnsiTheme="majorHAnsi" w:cstheme="majorHAnsi"/>
          <w:szCs w:val="21"/>
        </w:rPr>
        <w:t>Das FILAG bezweckt, die Unterschiede in der finanziellen Leistungsfähigkeit und in der Belastung der Gemeinden zu mildern und ausgewogene Verhältnisse in der Steuerbelastung anzustreben (Art. 1 FILAG).</w:t>
      </w:r>
    </w:p>
    <w:p w14:paraId="6C2E2F28" w14:textId="77777777" w:rsidR="001E0DF4" w:rsidRPr="00A5344E" w:rsidRDefault="001E0DF4" w:rsidP="001E0DF4">
      <w:pPr>
        <w:pStyle w:val="berschrift4"/>
        <w:numPr>
          <w:ilvl w:val="0"/>
          <w:numId w:val="39"/>
        </w:numPr>
        <w:rPr>
          <w:rFonts w:cstheme="majorHAnsi"/>
        </w:rPr>
      </w:pPr>
      <w:r w:rsidRPr="00A5344E">
        <w:rPr>
          <w:rFonts w:cstheme="majorHAnsi"/>
        </w:rPr>
        <w:t>Laufende Analysen der Wirkung des FILAG</w:t>
      </w:r>
    </w:p>
    <w:p w14:paraId="42D400BA" w14:textId="77777777" w:rsidR="001E0DF4" w:rsidRPr="00A5344E" w:rsidRDefault="001E0DF4" w:rsidP="00DC432E">
      <w:pPr>
        <w:pStyle w:val="Textkrper"/>
        <w:spacing w:line="270" w:lineRule="atLeast"/>
        <w:rPr>
          <w:rFonts w:asciiTheme="majorHAnsi" w:hAnsiTheme="majorHAnsi" w:cstheme="majorHAnsi"/>
          <w:lang w:val="de-CH"/>
        </w:rPr>
      </w:pPr>
      <w:r w:rsidRPr="00A5344E">
        <w:rPr>
          <w:rFonts w:asciiTheme="majorHAnsi" w:hAnsiTheme="majorHAnsi" w:cstheme="majorHAnsi"/>
          <w:lang w:val="de-CH"/>
        </w:rPr>
        <w:t>Die zuständige Stelle der Finanzdirektion (Finanzverwaltung, Abteilung Finanzausgleich) erstellt eine Finanzstatistik und analysiert laufend die Wirkungen dieses Gesetzes (Art. 33 Abs. 1 FILAG).</w:t>
      </w:r>
    </w:p>
    <w:p w14:paraId="5A2CA853" w14:textId="77777777" w:rsidR="001E0DF4" w:rsidRPr="00A5344E" w:rsidRDefault="001E0DF4" w:rsidP="00DC432E">
      <w:pPr>
        <w:pStyle w:val="Textkrper"/>
        <w:spacing w:line="270" w:lineRule="atLeast"/>
        <w:rPr>
          <w:rFonts w:asciiTheme="majorHAnsi" w:hAnsiTheme="majorHAnsi" w:cstheme="majorHAnsi"/>
          <w:lang w:val="de-CH"/>
        </w:rPr>
      </w:pPr>
      <w:r w:rsidRPr="00A5344E">
        <w:rPr>
          <w:rFonts w:asciiTheme="majorHAnsi" w:hAnsiTheme="majorHAnsi" w:cstheme="majorHAnsi"/>
          <w:lang w:val="de-CH"/>
        </w:rPr>
        <w:t>Die Finanzstatistik (FINSTA) für die bernischen Gemeinden wurde im Jahr 1998 eingeführt und wird seither jährlich aktualisiert.</w:t>
      </w:r>
    </w:p>
    <w:p w14:paraId="7E42604D" w14:textId="77777777" w:rsidR="001E0DF4" w:rsidRPr="00A5344E" w:rsidRDefault="001E0DF4" w:rsidP="00DC432E">
      <w:pPr>
        <w:pStyle w:val="Textkrper"/>
        <w:spacing w:line="270" w:lineRule="atLeast"/>
        <w:rPr>
          <w:rFonts w:asciiTheme="majorHAnsi" w:hAnsiTheme="majorHAnsi" w:cstheme="majorHAnsi"/>
          <w:lang w:val="de-CH"/>
        </w:rPr>
      </w:pPr>
      <w:r w:rsidRPr="00A5344E">
        <w:rPr>
          <w:rFonts w:asciiTheme="majorHAnsi" w:hAnsiTheme="majorHAnsi" w:cstheme="majorHAnsi"/>
          <w:lang w:val="de-CH"/>
        </w:rPr>
        <w:t>Die Zielsetzungen für die Laufende Analyse der Wirksamkeit des FILAG sind:</w:t>
      </w:r>
    </w:p>
    <w:p w14:paraId="5375563E" w14:textId="77777777" w:rsidR="001E0DF4" w:rsidRPr="00A5344E" w:rsidRDefault="001E0DF4" w:rsidP="00D323A8">
      <w:pPr>
        <w:pStyle w:val="Aufzhlungszeichen"/>
        <w:contextualSpacing w:val="0"/>
        <w:rPr>
          <w:rFonts w:asciiTheme="majorHAnsi" w:hAnsiTheme="majorHAnsi" w:cstheme="majorHAnsi"/>
        </w:rPr>
      </w:pPr>
      <w:r w:rsidRPr="00A5344E">
        <w:rPr>
          <w:rFonts w:asciiTheme="majorHAnsi" w:hAnsiTheme="majorHAnsi" w:cstheme="majorHAnsi"/>
        </w:rPr>
        <w:t>Bereitstellung der Grundlagen für ein Gemeindemonitoring, um die Wirkungs- und Zielerreichung des FILAG laufend zu analysieren.</w:t>
      </w:r>
    </w:p>
    <w:p w14:paraId="577A747E" w14:textId="77777777" w:rsidR="001E0DF4" w:rsidRPr="00A5344E" w:rsidRDefault="001E0DF4" w:rsidP="00D323A8">
      <w:pPr>
        <w:pStyle w:val="Aufzhlungszeichen"/>
        <w:contextualSpacing w:val="0"/>
        <w:rPr>
          <w:rFonts w:asciiTheme="majorHAnsi" w:hAnsiTheme="majorHAnsi" w:cstheme="majorHAnsi"/>
        </w:rPr>
      </w:pPr>
      <w:r w:rsidRPr="00A5344E">
        <w:rPr>
          <w:rFonts w:asciiTheme="majorHAnsi" w:hAnsiTheme="majorHAnsi" w:cstheme="majorHAnsi"/>
        </w:rPr>
        <w:t>Laufende Beobachtung der Entwicklung der Gemeindefinanzen betreffend die Wirkungen des Finanz- und Lastenausgleichs.</w:t>
      </w:r>
    </w:p>
    <w:p w14:paraId="0FD3FC2A" w14:textId="3AA64D4A" w:rsidR="001E0DF4" w:rsidRPr="00A5344E" w:rsidRDefault="001E0DF4" w:rsidP="00D323A8">
      <w:pPr>
        <w:pStyle w:val="Aufzhlungszeichen"/>
        <w:contextualSpacing w:val="0"/>
        <w:rPr>
          <w:rFonts w:asciiTheme="majorHAnsi" w:hAnsiTheme="majorHAnsi" w:cstheme="majorHAnsi"/>
        </w:rPr>
      </w:pPr>
      <w:r w:rsidRPr="00A5344E">
        <w:rPr>
          <w:rFonts w:asciiTheme="majorHAnsi" w:hAnsiTheme="majorHAnsi" w:cstheme="majorHAnsi"/>
        </w:rPr>
        <w:t xml:space="preserve">Bereitstellung von Grundlagen, </w:t>
      </w:r>
      <w:r w:rsidR="00D323A8">
        <w:rPr>
          <w:rFonts w:asciiTheme="majorHAnsi" w:hAnsiTheme="majorHAnsi" w:cstheme="majorHAnsi"/>
        </w:rPr>
        <w:t>die</w:t>
      </w:r>
      <w:r w:rsidR="00D323A8" w:rsidRPr="00A5344E">
        <w:rPr>
          <w:rFonts w:asciiTheme="majorHAnsi" w:hAnsiTheme="majorHAnsi" w:cstheme="majorHAnsi"/>
        </w:rPr>
        <w:t xml:space="preserve"> </w:t>
      </w:r>
      <w:r w:rsidRPr="00A5344E">
        <w:rPr>
          <w:rFonts w:asciiTheme="majorHAnsi" w:hAnsiTheme="majorHAnsi" w:cstheme="majorHAnsi"/>
        </w:rPr>
        <w:t>es dem Regierungsrat ermöglichen, die Feinsteuerung innerhalb der im FILAG festgelegten Bandbreiten beim Vollzug des Finanzausgleichs (Disparitätenabbau und Mindestausstattung) sowie bei den Massnahmen für besonders belastete Gemeinden vorzunehmen.</w:t>
      </w:r>
    </w:p>
    <w:p w14:paraId="527D8A6F" w14:textId="77777777" w:rsidR="001E0DF4" w:rsidRPr="00A5344E" w:rsidRDefault="001E0DF4" w:rsidP="001E0DF4">
      <w:pPr>
        <w:pStyle w:val="berschrift4"/>
        <w:numPr>
          <w:ilvl w:val="0"/>
          <w:numId w:val="39"/>
        </w:numPr>
        <w:rPr>
          <w:rFonts w:cstheme="majorHAnsi"/>
        </w:rPr>
      </w:pPr>
      <w:r w:rsidRPr="00A5344E">
        <w:rPr>
          <w:rFonts w:cstheme="majorHAnsi"/>
        </w:rPr>
        <w:t>Parameter für die Feinsteuerung durch den Regierungsrat</w:t>
      </w:r>
    </w:p>
    <w:p w14:paraId="3534A07D" w14:textId="6796E617" w:rsidR="001E0DF4" w:rsidRPr="00D323A8" w:rsidRDefault="001E0DF4" w:rsidP="00DC432E">
      <w:pPr>
        <w:rPr>
          <w:rFonts w:asciiTheme="majorHAnsi" w:hAnsiTheme="majorHAnsi" w:cstheme="majorHAnsi"/>
        </w:rPr>
      </w:pPr>
      <w:r w:rsidRPr="00D323A8">
        <w:rPr>
          <w:rFonts w:asciiTheme="majorHAnsi" w:hAnsiTheme="majorHAnsi" w:cstheme="majorHAnsi"/>
          <w:szCs w:val="21"/>
        </w:rPr>
        <w:t xml:space="preserve">Um auf unbeabsichtigte Auswirkungen und neue Entwicklungen angemessen reagieren zu können, kann der Regierungsrat die Feinsteuerung innerhalb der im FILAG für die einzelnen Instrumente festgelegten Bandbreiten vornehmen. Die Instrumente, die Rechtsgrundlagen sowie die Steuerungsparameter sind im Anhang </w:t>
      </w:r>
      <w:r w:rsidR="00D323A8">
        <w:rPr>
          <w:rFonts w:asciiTheme="majorHAnsi" w:hAnsiTheme="majorHAnsi" w:cstheme="majorHAnsi"/>
          <w:szCs w:val="21"/>
        </w:rPr>
        <w:t>2</w:t>
      </w:r>
      <w:r w:rsidRPr="00D323A8">
        <w:rPr>
          <w:rFonts w:asciiTheme="majorHAnsi" w:hAnsiTheme="majorHAnsi" w:cstheme="majorHAnsi"/>
          <w:szCs w:val="21"/>
        </w:rPr>
        <w:t xml:space="preserve"> aufgeführt.</w:t>
      </w:r>
    </w:p>
    <w:p w14:paraId="3EFD9EEC" w14:textId="77777777" w:rsidR="001E0DF4" w:rsidRPr="00A5344E" w:rsidRDefault="001E0DF4" w:rsidP="001E0DF4">
      <w:pPr>
        <w:pStyle w:val="berschrift4"/>
        <w:numPr>
          <w:ilvl w:val="0"/>
          <w:numId w:val="39"/>
        </w:numPr>
        <w:rPr>
          <w:rFonts w:cstheme="majorHAnsi"/>
        </w:rPr>
      </w:pPr>
      <w:r w:rsidRPr="00A5344E">
        <w:rPr>
          <w:rFonts w:cstheme="majorHAnsi"/>
        </w:rPr>
        <w:t>Kenntnisnahme des Berichtes durch den Regierungsrat</w:t>
      </w:r>
    </w:p>
    <w:p w14:paraId="22C69077" w14:textId="77777777" w:rsidR="001E0DF4" w:rsidRPr="00D323A8" w:rsidRDefault="001E0DF4" w:rsidP="00DC432E">
      <w:pPr>
        <w:rPr>
          <w:rFonts w:asciiTheme="majorHAnsi" w:hAnsiTheme="majorHAnsi" w:cstheme="majorHAnsi"/>
        </w:rPr>
      </w:pPr>
      <w:r w:rsidRPr="00D323A8">
        <w:rPr>
          <w:rFonts w:asciiTheme="majorHAnsi" w:hAnsiTheme="majorHAnsi" w:cstheme="majorHAnsi"/>
          <w:szCs w:val="21"/>
        </w:rPr>
        <w:t>Der Regierungsrat hat mit RRB Nr. 2008 vom 30. November 2011 im Rahmen der Kenntnisnahme der Ergebnisse der Laufenden Analyse 2011 die Finanzdirektion beauftragt, ihm künftig nur noch bei Bedarf einen Bericht vorzulegen und ihm gegebenenfalls Massnahmen für die Feinsteuerung des FILAG zu beantragen.</w:t>
      </w:r>
    </w:p>
    <w:p w14:paraId="29CDDF23" w14:textId="77777777" w:rsidR="001E0DF4" w:rsidRPr="00A5344E" w:rsidRDefault="001E0DF4" w:rsidP="001E0DF4">
      <w:pPr>
        <w:pStyle w:val="berschrift4"/>
        <w:numPr>
          <w:ilvl w:val="0"/>
          <w:numId w:val="39"/>
        </w:numPr>
        <w:rPr>
          <w:rFonts w:cstheme="majorHAnsi"/>
        </w:rPr>
      </w:pPr>
      <w:r w:rsidRPr="00A5344E">
        <w:rPr>
          <w:rFonts w:cstheme="majorHAnsi"/>
        </w:rPr>
        <w:t>Revision des FILAG per 1. Januar 2012</w:t>
      </w:r>
    </w:p>
    <w:p w14:paraId="59F60D77" w14:textId="4400CFD4" w:rsidR="001E0DF4" w:rsidRDefault="001E0DF4" w:rsidP="00DC432E">
      <w:pPr>
        <w:rPr>
          <w:rFonts w:asciiTheme="majorHAnsi" w:hAnsiTheme="majorHAnsi" w:cstheme="majorHAnsi"/>
          <w:szCs w:val="21"/>
        </w:rPr>
      </w:pPr>
      <w:r w:rsidRPr="00D323A8">
        <w:rPr>
          <w:rFonts w:asciiTheme="majorHAnsi" w:hAnsiTheme="majorHAnsi" w:cstheme="majorHAnsi"/>
          <w:szCs w:val="21"/>
        </w:rPr>
        <w:t xml:space="preserve">Auf den 1. Januar 2012 erfolgte eine Teilrevision des FILAG 2002 (Projekt FILAG 2012). Die Hauptzielsetzungen der Revision waren – gestützt auf die Ergebnisse der Ex-post-Evaluation des FILAG 2002 im Jahr 2007 – eine gerechtere Verteilung der Mittel im Finanzausgleich und die Eliminierung von verschiedenen finanziellen Fehlanreizen, insbesondere bei den </w:t>
      </w:r>
      <w:r w:rsidRPr="00F978FE">
        <w:rPr>
          <w:rFonts w:asciiTheme="majorHAnsi" w:hAnsiTheme="majorHAnsi" w:cstheme="majorHAnsi"/>
          <w:szCs w:val="21"/>
        </w:rPr>
        <w:t xml:space="preserve">Lastenausgleichen </w:t>
      </w:r>
      <w:r w:rsidR="001944E1" w:rsidRPr="00F978FE">
        <w:rPr>
          <w:rFonts w:asciiTheme="majorHAnsi" w:hAnsiTheme="majorHAnsi" w:cstheme="majorHAnsi"/>
          <w:szCs w:val="21"/>
        </w:rPr>
        <w:t>Soziales</w:t>
      </w:r>
      <w:r w:rsidRPr="00F978FE">
        <w:rPr>
          <w:rFonts w:asciiTheme="majorHAnsi" w:hAnsiTheme="majorHAnsi" w:cstheme="majorHAnsi"/>
          <w:szCs w:val="21"/>
        </w:rPr>
        <w:t xml:space="preserve"> und </w:t>
      </w:r>
      <w:r w:rsidRPr="00D323A8">
        <w:rPr>
          <w:rFonts w:asciiTheme="majorHAnsi" w:hAnsiTheme="majorHAnsi" w:cstheme="majorHAnsi"/>
          <w:szCs w:val="21"/>
        </w:rPr>
        <w:t>Lehrergehälter.</w:t>
      </w:r>
    </w:p>
    <w:p w14:paraId="5AF0150E" w14:textId="77777777" w:rsidR="00DC432E" w:rsidRDefault="00DC432E" w:rsidP="00DC432E">
      <w:pPr>
        <w:rPr>
          <w:rFonts w:asciiTheme="majorHAnsi" w:hAnsiTheme="majorHAnsi" w:cstheme="majorHAnsi"/>
          <w:szCs w:val="21"/>
        </w:rPr>
      </w:pPr>
    </w:p>
    <w:p w14:paraId="489EEB22" w14:textId="5E2A0CB3" w:rsidR="00DC432E" w:rsidRDefault="00DC432E" w:rsidP="00DC432E">
      <w:pPr>
        <w:rPr>
          <w:rFonts w:asciiTheme="majorHAnsi" w:hAnsiTheme="majorHAnsi" w:cstheme="majorHAnsi"/>
          <w:szCs w:val="21"/>
        </w:rPr>
      </w:pPr>
      <w:r>
        <w:rPr>
          <w:rFonts w:asciiTheme="majorHAnsi" w:hAnsiTheme="majorHAnsi" w:cstheme="majorHAnsi"/>
          <w:szCs w:val="21"/>
        </w:rPr>
        <w:br w:type="page"/>
      </w:r>
    </w:p>
    <w:p w14:paraId="4F6F8092" w14:textId="480A42B4" w:rsidR="001E0DF4" w:rsidRDefault="001E0DF4" w:rsidP="00D323A8">
      <w:pPr>
        <w:rPr>
          <w:rFonts w:asciiTheme="majorHAnsi" w:hAnsiTheme="majorHAnsi" w:cstheme="majorHAnsi"/>
          <w:szCs w:val="21"/>
        </w:rPr>
      </w:pPr>
      <w:r w:rsidRPr="00D323A8">
        <w:rPr>
          <w:rFonts w:asciiTheme="majorHAnsi" w:hAnsiTheme="majorHAnsi" w:cstheme="majorHAnsi"/>
          <w:szCs w:val="21"/>
        </w:rPr>
        <w:lastRenderedPageBreak/>
        <w:t xml:space="preserve">Die wichtigsten Anpassungen aus der Teilrevision des FILAG </w:t>
      </w:r>
      <w:r w:rsidR="00732C29" w:rsidRPr="00D323A8">
        <w:rPr>
          <w:rFonts w:asciiTheme="majorHAnsi" w:hAnsiTheme="majorHAnsi" w:cstheme="majorHAnsi"/>
          <w:szCs w:val="21"/>
        </w:rPr>
        <w:t>waren</w:t>
      </w:r>
      <w:r w:rsidRPr="00D323A8">
        <w:rPr>
          <w:rFonts w:asciiTheme="majorHAnsi" w:hAnsiTheme="majorHAnsi" w:cstheme="majorHAnsi"/>
          <w:szCs w:val="21"/>
        </w:rPr>
        <w:t>:</w:t>
      </w:r>
    </w:p>
    <w:p w14:paraId="03A441ED" w14:textId="77777777" w:rsidR="001E0DF4" w:rsidRPr="00A5344E" w:rsidRDefault="001E0DF4" w:rsidP="00D323A8">
      <w:pPr>
        <w:pStyle w:val="Aufzhlungszeichen"/>
        <w:contextualSpacing w:val="0"/>
        <w:rPr>
          <w:rFonts w:asciiTheme="majorHAnsi" w:hAnsiTheme="majorHAnsi" w:cstheme="majorHAnsi"/>
          <w:b/>
          <w:bCs w:val="0"/>
        </w:rPr>
      </w:pPr>
      <w:r w:rsidRPr="00A5344E">
        <w:rPr>
          <w:rFonts w:asciiTheme="majorHAnsi" w:hAnsiTheme="majorHAnsi" w:cstheme="majorHAnsi"/>
          <w:b/>
        </w:rPr>
        <w:t>Finanzausgleich</w:t>
      </w:r>
      <w:r w:rsidRPr="00A5344E">
        <w:rPr>
          <w:rFonts w:asciiTheme="majorHAnsi" w:hAnsiTheme="majorHAnsi" w:cstheme="majorHAnsi"/>
        </w:rPr>
        <w:t xml:space="preserve"> und </w:t>
      </w:r>
      <w:r w:rsidRPr="00A5344E">
        <w:rPr>
          <w:rFonts w:asciiTheme="majorHAnsi" w:hAnsiTheme="majorHAnsi" w:cstheme="majorHAnsi"/>
          <w:b/>
        </w:rPr>
        <w:t>Massnahmen für besonders belastete Gemeinden</w:t>
      </w:r>
    </w:p>
    <w:p w14:paraId="4F81CF41" w14:textId="51A6ED6D" w:rsidR="001E0DF4" w:rsidRPr="00A5344E" w:rsidRDefault="001E0DF4" w:rsidP="00D323A8">
      <w:pPr>
        <w:pStyle w:val="Aufzhlungszeichen2"/>
        <w:contextualSpacing w:val="0"/>
        <w:rPr>
          <w:rFonts w:asciiTheme="majorHAnsi" w:hAnsiTheme="majorHAnsi" w:cstheme="majorHAnsi"/>
        </w:rPr>
      </w:pPr>
      <w:r w:rsidRPr="00A5344E">
        <w:rPr>
          <w:rFonts w:asciiTheme="majorHAnsi" w:hAnsiTheme="majorHAnsi" w:cstheme="majorHAnsi"/>
        </w:rPr>
        <w:t xml:space="preserve">Der Harmonisierungsfaktor wurde so festgelegt, dass die finanzschwächsten Gemeinden durch den Finanzausgleich nicht </w:t>
      </w:r>
      <w:r w:rsidR="00905E00" w:rsidRPr="00A5344E">
        <w:rPr>
          <w:rFonts w:asciiTheme="majorHAnsi" w:hAnsiTheme="majorHAnsi" w:cstheme="majorHAnsi"/>
        </w:rPr>
        <w:t>bessergestellt</w:t>
      </w:r>
      <w:r w:rsidRPr="00A5344E">
        <w:rPr>
          <w:rFonts w:asciiTheme="majorHAnsi" w:hAnsiTheme="majorHAnsi" w:cstheme="majorHAnsi"/>
        </w:rPr>
        <w:t xml:space="preserve"> werden als weniger finanzschwache Gemeinden. Seit dieser Anpassung werden die Finanzausgleichszuschüsse gerechter verteilt.</w:t>
      </w:r>
    </w:p>
    <w:p w14:paraId="41F8C642" w14:textId="77777777" w:rsidR="001E0DF4" w:rsidRPr="00A5344E" w:rsidRDefault="001E0DF4" w:rsidP="00D323A8">
      <w:pPr>
        <w:pStyle w:val="Aufzhlungszeichen2"/>
        <w:contextualSpacing w:val="0"/>
        <w:rPr>
          <w:rFonts w:asciiTheme="majorHAnsi" w:hAnsiTheme="majorHAnsi" w:cstheme="majorHAnsi"/>
        </w:rPr>
      </w:pPr>
      <w:r w:rsidRPr="00A5344E">
        <w:rPr>
          <w:rFonts w:asciiTheme="majorHAnsi" w:hAnsiTheme="majorHAnsi" w:cstheme="majorHAnsi"/>
        </w:rPr>
        <w:t xml:space="preserve">Die Mindestausstattung wird nicht mehr an die Voraussetzung geknüpft, dass die Steueranlage der Gemeinde über dem kantonalen Mittel liegt. Gleichzeitig wurde der Regierungsrat ermächtigt, Gemeinden in guten finanziellen Verhältnissen die Mindestausstattung zu kürzen oder ganz zu verweigern. </w:t>
      </w:r>
    </w:p>
    <w:p w14:paraId="7FDA9D0D" w14:textId="77777777" w:rsidR="001E0DF4" w:rsidRPr="00A5344E" w:rsidRDefault="001E0DF4" w:rsidP="00D323A8">
      <w:pPr>
        <w:pStyle w:val="Aufzhlungszeichen2"/>
        <w:contextualSpacing w:val="0"/>
        <w:rPr>
          <w:rFonts w:asciiTheme="majorHAnsi" w:hAnsiTheme="majorHAnsi" w:cstheme="majorHAnsi"/>
        </w:rPr>
      </w:pPr>
      <w:r w:rsidRPr="00A5344E">
        <w:rPr>
          <w:rFonts w:asciiTheme="majorHAnsi" w:hAnsiTheme="majorHAnsi" w:cstheme="majorHAnsi"/>
        </w:rPr>
        <w:t>Ein Instrument zum Ausgleich besonderer Lasten von ländlichen Gebieten wurde beibehalten. Um Fehlanreize zu vermeiden, wurde die Voraussetzung einer hohen kommunalen Gesamtsteuerbelastung aufgehoben; das Instrument wurde somit in einen rein geografisch-topografischen Zuschuss überführt. Gleichzeitig wurde der Regierungsrat ermächtigt, Gemeinden in guten finanziellen Verhältnissen den Zuschuss zu kürzen oder ganz zu verweigern.</w:t>
      </w:r>
    </w:p>
    <w:p w14:paraId="00C7FC14" w14:textId="77777777" w:rsidR="001E0DF4" w:rsidRPr="00A5344E" w:rsidRDefault="001E0DF4" w:rsidP="00D323A8">
      <w:pPr>
        <w:pStyle w:val="Aufzhlungszeichen2"/>
        <w:contextualSpacing w:val="0"/>
        <w:rPr>
          <w:rFonts w:asciiTheme="majorHAnsi" w:hAnsiTheme="majorHAnsi" w:cstheme="majorHAnsi"/>
        </w:rPr>
      </w:pPr>
      <w:r w:rsidRPr="00A5344E">
        <w:rPr>
          <w:rFonts w:asciiTheme="majorHAnsi" w:hAnsiTheme="majorHAnsi" w:cstheme="majorHAnsi"/>
        </w:rPr>
        <w:t>Zur Abfederung des Selbstbehaltes von 20 Prozent bei ausgewählten Angeboten der institutionellen Sozialhilfe wurde ein soziodemografischer Zuschuss eingeführt.</w:t>
      </w:r>
    </w:p>
    <w:p w14:paraId="131E4497" w14:textId="77777777" w:rsidR="001E0DF4" w:rsidRPr="00A5344E" w:rsidRDefault="001E0DF4" w:rsidP="00D323A8">
      <w:pPr>
        <w:pStyle w:val="Aufzhlungszeichen2"/>
        <w:contextualSpacing w:val="0"/>
        <w:rPr>
          <w:rFonts w:asciiTheme="majorHAnsi" w:hAnsiTheme="majorHAnsi" w:cstheme="majorHAnsi"/>
        </w:rPr>
      </w:pPr>
      <w:r w:rsidRPr="00A5344E">
        <w:rPr>
          <w:rFonts w:asciiTheme="majorHAnsi" w:hAnsiTheme="majorHAnsi" w:cstheme="majorHAnsi"/>
        </w:rPr>
        <w:t>Die pauschale Abgeltung der Zentrumslasten bleibt auf die Städte Bern, Biel und Thun beschränkt. Sie wurde durch den Einbezug der bis zur Teilrevision nicht abgegoltenen Kulturlasten angemessen erhöht und an damals aktuelle Erhebungen angepasst. Im Gegenzug wurde der bisherige Abzug der Zentrumslasten bei der Berechnung der Steuerkraft auf die nicht abgegoltenen Zentrumslasten beschränkt, wobei von diesem Mechanismus weiterhin auch Burgdorf und Langenthal profitieren.</w:t>
      </w:r>
    </w:p>
    <w:p w14:paraId="0B3A069D" w14:textId="0484C82D" w:rsidR="001E0DF4" w:rsidRPr="00A5344E" w:rsidRDefault="001944E1" w:rsidP="00D323A8">
      <w:pPr>
        <w:pStyle w:val="Aufzhlungszeichen"/>
        <w:contextualSpacing w:val="0"/>
        <w:rPr>
          <w:rFonts w:asciiTheme="majorHAnsi" w:hAnsiTheme="majorHAnsi" w:cstheme="majorHAnsi"/>
        </w:rPr>
      </w:pPr>
      <w:r w:rsidRPr="00F978FE">
        <w:rPr>
          <w:rFonts w:asciiTheme="majorHAnsi" w:hAnsiTheme="majorHAnsi" w:cstheme="majorHAnsi"/>
          <w:b/>
        </w:rPr>
        <w:t>Soziales</w:t>
      </w:r>
      <w:r w:rsidR="001E0DF4" w:rsidRPr="00F978FE">
        <w:rPr>
          <w:rFonts w:asciiTheme="majorHAnsi" w:hAnsiTheme="majorHAnsi" w:cstheme="majorHAnsi"/>
        </w:rPr>
        <w:t>: Die Ke</w:t>
      </w:r>
      <w:r w:rsidR="001E0DF4" w:rsidRPr="00A5344E">
        <w:rPr>
          <w:rFonts w:asciiTheme="majorHAnsi" w:hAnsiTheme="majorHAnsi" w:cstheme="majorHAnsi"/>
        </w:rPr>
        <w:t xml:space="preserve">rnpunkte der Gesetzesrevision umfassten die neue Aufgabenteilung im Alters- und Behindertenbereich, die Verstärkung des Controllings sowie die Einführung eines Selbstbehaltes von 20 Prozent bei ausgewählten familienergänzenden Angeboten der Sozialhilfe. Abgefedert wird der Selbstbehalt durch den soziodemografischen Zuschuss, </w:t>
      </w:r>
      <w:r w:rsidR="00D323A8">
        <w:rPr>
          <w:rFonts w:asciiTheme="majorHAnsi" w:hAnsiTheme="majorHAnsi" w:cstheme="majorHAnsi"/>
        </w:rPr>
        <w:t>der</w:t>
      </w:r>
      <w:r w:rsidR="00D323A8" w:rsidRPr="00A5344E">
        <w:rPr>
          <w:rFonts w:asciiTheme="majorHAnsi" w:hAnsiTheme="majorHAnsi" w:cstheme="majorHAnsi"/>
        </w:rPr>
        <w:t xml:space="preserve"> </w:t>
      </w:r>
      <w:r w:rsidR="001E0DF4" w:rsidRPr="00A5344E">
        <w:rPr>
          <w:rFonts w:asciiTheme="majorHAnsi" w:hAnsiTheme="majorHAnsi" w:cstheme="majorHAnsi"/>
        </w:rPr>
        <w:t>die sozialen Strukturen einer Gemeinde mitberücksichtigt.</w:t>
      </w:r>
    </w:p>
    <w:p w14:paraId="4C1C6507" w14:textId="46243A0F" w:rsidR="001E0DF4" w:rsidRPr="00A5344E" w:rsidRDefault="001E0DF4" w:rsidP="00D323A8">
      <w:pPr>
        <w:pStyle w:val="Aufzhlungszeichen"/>
        <w:contextualSpacing w:val="0"/>
        <w:rPr>
          <w:rFonts w:asciiTheme="majorHAnsi" w:hAnsiTheme="majorHAnsi" w:cstheme="majorHAnsi"/>
        </w:rPr>
      </w:pPr>
      <w:r w:rsidRPr="00A5344E">
        <w:rPr>
          <w:rFonts w:asciiTheme="majorHAnsi" w:hAnsiTheme="majorHAnsi" w:cstheme="majorHAnsi"/>
          <w:b/>
        </w:rPr>
        <w:t>Lehrergehälter</w:t>
      </w:r>
      <w:r w:rsidRPr="00A5344E">
        <w:rPr>
          <w:rFonts w:asciiTheme="majorHAnsi" w:hAnsiTheme="majorHAnsi" w:cstheme="majorHAnsi"/>
        </w:rPr>
        <w:t xml:space="preserve">: Der bisherige Lastenausgleich wurde durch ein neues Finanzierungsmodell (Neue Finanzierung Volksschule NFV) abgelöst, mit </w:t>
      </w:r>
      <w:r w:rsidR="00D323A8">
        <w:rPr>
          <w:rFonts w:asciiTheme="majorHAnsi" w:hAnsiTheme="majorHAnsi" w:cstheme="majorHAnsi"/>
        </w:rPr>
        <w:t>dem</w:t>
      </w:r>
      <w:r w:rsidR="00D323A8" w:rsidRPr="00A5344E">
        <w:rPr>
          <w:rFonts w:asciiTheme="majorHAnsi" w:hAnsiTheme="majorHAnsi" w:cstheme="majorHAnsi"/>
        </w:rPr>
        <w:t xml:space="preserve"> </w:t>
      </w:r>
      <w:r w:rsidRPr="00A5344E">
        <w:rPr>
          <w:rFonts w:asciiTheme="majorHAnsi" w:hAnsiTheme="majorHAnsi" w:cstheme="majorHAnsi"/>
        </w:rPr>
        <w:t xml:space="preserve">die Gemeinden deutlich stärker als bisher an einer wirtschaftlichen und sparsamen Schulorganisation beteiligt werden. Jede Gemeinde zahlt seither die Hälfte der Gehaltskosten ihrer Lehrkräfte, die andere Hälfte trägt der Kanton. Zusätzlich erhalten die Gemeinden topografisch und soziodemografisch abgestufte Beiträge pro Schülerin und Schüler. Die Kantonsbeiträge entsprechen 20 Prozent der gesamten Lehrergehaltskosten, womit der Finanzierungsschlüssel summarisch unverändert blieb (70 </w:t>
      </w:r>
      <w:r w:rsidR="00827FD3" w:rsidRPr="00A5344E">
        <w:rPr>
          <w:rFonts w:asciiTheme="majorHAnsi" w:hAnsiTheme="majorHAnsi" w:cstheme="majorHAnsi"/>
        </w:rPr>
        <w:t>Prozent</w:t>
      </w:r>
      <w:r w:rsidRPr="00A5344E">
        <w:rPr>
          <w:rFonts w:asciiTheme="majorHAnsi" w:hAnsiTheme="majorHAnsi" w:cstheme="majorHAnsi"/>
        </w:rPr>
        <w:t xml:space="preserve"> Kanton, 30 </w:t>
      </w:r>
      <w:r w:rsidR="00827FD3" w:rsidRPr="00A5344E">
        <w:rPr>
          <w:rFonts w:asciiTheme="majorHAnsi" w:hAnsiTheme="majorHAnsi" w:cstheme="majorHAnsi"/>
        </w:rPr>
        <w:t>Prozent</w:t>
      </w:r>
      <w:r w:rsidRPr="00A5344E">
        <w:rPr>
          <w:rFonts w:asciiTheme="majorHAnsi" w:hAnsiTheme="majorHAnsi" w:cstheme="majorHAnsi"/>
        </w:rPr>
        <w:t xml:space="preserve"> Gemeinden).</w:t>
      </w:r>
    </w:p>
    <w:p w14:paraId="785C9146" w14:textId="77777777" w:rsidR="001E0DF4" w:rsidRPr="00A5344E" w:rsidRDefault="001E0DF4" w:rsidP="00D323A8">
      <w:pPr>
        <w:pStyle w:val="Aufzhlungszeichen"/>
        <w:contextualSpacing w:val="0"/>
        <w:rPr>
          <w:rFonts w:asciiTheme="majorHAnsi" w:hAnsiTheme="majorHAnsi" w:cstheme="majorHAnsi"/>
        </w:rPr>
      </w:pPr>
      <w:r w:rsidRPr="00A5344E">
        <w:rPr>
          <w:rFonts w:asciiTheme="majorHAnsi" w:hAnsiTheme="majorHAnsi" w:cstheme="majorHAnsi"/>
          <w:b/>
        </w:rPr>
        <w:t>Neue Aufgabenteilung</w:t>
      </w:r>
      <w:r w:rsidRPr="00A5344E">
        <w:rPr>
          <w:rFonts w:asciiTheme="majorHAnsi" w:hAnsiTheme="majorHAnsi" w:cstheme="majorHAnsi"/>
        </w:rPr>
        <w:t>: Für den Ausgleich der Lastenverschiebungen aus dem Projekt «FILAG 2012» sowie künftiger Lastenverschiebungen zwischen Kanton und Gemeinden wurde der Lastenausgleich «neue Aufgabenteilung» konzipiert (Art. 29b FILAG).</w:t>
      </w:r>
    </w:p>
    <w:p w14:paraId="51F0D578" w14:textId="77777777" w:rsidR="00836EDF" w:rsidRPr="00A5344E" w:rsidRDefault="00836EDF" w:rsidP="00836EDF">
      <w:pPr>
        <w:pStyle w:val="berschrift4"/>
        <w:numPr>
          <w:ilvl w:val="0"/>
          <w:numId w:val="39"/>
        </w:numPr>
        <w:rPr>
          <w:rFonts w:cstheme="majorHAnsi"/>
        </w:rPr>
      </w:pPr>
      <w:r w:rsidRPr="00A5344E">
        <w:rPr>
          <w:rFonts w:cstheme="majorHAnsi"/>
        </w:rPr>
        <w:t>Erfolgskontrolle des FILAG</w:t>
      </w:r>
    </w:p>
    <w:p w14:paraId="2057C88F" w14:textId="77777777" w:rsidR="00836EDF" w:rsidRPr="005C3139" w:rsidRDefault="00836EDF" w:rsidP="00836EDF">
      <w:pPr>
        <w:rPr>
          <w:rFonts w:asciiTheme="majorHAnsi" w:hAnsiTheme="majorHAnsi" w:cstheme="majorHAnsi"/>
          <w:szCs w:val="21"/>
        </w:rPr>
      </w:pPr>
      <w:r w:rsidRPr="005C3139">
        <w:rPr>
          <w:rFonts w:asciiTheme="majorHAnsi" w:hAnsiTheme="majorHAnsi" w:cstheme="majorHAnsi"/>
          <w:szCs w:val="21"/>
        </w:rPr>
        <w:t>Gemäss Artikel 4 FILAG überprüft der Regierungsrat mindestens alle vier Jahre die Auswirkungen des FILAG und legt dem Grossen Rat anschliessend einen Bericht oder eine Vorlage zu einer Gesetzesänderung vor. Der Regierungsrat hat die Ergebnisse der letzten Erfolgskontrolle im Jahr 2022, welche die Entwicklungen zwischen den Jahren 2016 und 2021 analysiert, in seinem Bericht vom 24. April 2024 zusammengefasst (FILAG-Bericht 2024).</w:t>
      </w:r>
    </w:p>
    <w:p w14:paraId="62B5EB71" w14:textId="77777777" w:rsidR="00836EDF" w:rsidRPr="005C3139" w:rsidRDefault="00836EDF" w:rsidP="00836EDF">
      <w:pPr>
        <w:rPr>
          <w:rFonts w:asciiTheme="majorHAnsi" w:hAnsiTheme="majorHAnsi" w:cstheme="majorHAnsi"/>
          <w:szCs w:val="21"/>
        </w:rPr>
      </w:pPr>
    </w:p>
    <w:p w14:paraId="7816318D" w14:textId="77777777" w:rsidR="00836EDF" w:rsidRPr="00A5344E" w:rsidRDefault="00836EDF" w:rsidP="00836EDF">
      <w:pPr>
        <w:rPr>
          <w:rFonts w:asciiTheme="majorHAnsi" w:hAnsiTheme="majorHAnsi" w:cstheme="majorHAnsi"/>
          <w:szCs w:val="21"/>
        </w:rPr>
      </w:pPr>
      <w:r w:rsidRPr="005C3139">
        <w:rPr>
          <w:rFonts w:asciiTheme="majorHAnsi" w:hAnsiTheme="majorHAnsi" w:cstheme="majorHAnsi"/>
          <w:szCs w:val="21"/>
        </w:rPr>
        <w:t>Darin hat er die positiven Ergebnisse der durchgeführten externen Evaluation mit Genugtuung zur Kenntnis genommen. Auch die Vernehmlassung zum FILAG-Bericht 2024 ergab eine breite Zustimmung zum Finanz- und Lastenausgleich. Der Regierungsrat erkannte deshalb sowohl bezüglich der FILAG-Instrumente als auch der Höhe der FILAG-Abgeltungen keinen unmittelbaren Handlungsbedarf.</w:t>
      </w:r>
    </w:p>
    <w:p w14:paraId="0677F6D2" w14:textId="77777777" w:rsidR="00836EDF" w:rsidRPr="005C3139" w:rsidRDefault="00836EDF" w:rsidP="00836EDF">
      <w:pPr>
        <w:rPr>
          <w:rFonts w:asciiTheme="majorHAnsi" w:hAnsiTheme="majorHAnsi" w:cstheme="majorHAnsi"/>
          <w:szCs w:val="21"/>
        </w:rPr>
      </w:pPr>
    </w:p>
    <w:p w14:paraId="43448EDC" w14:textId="7033BDC9" w:rsidR="00836EDF" w:rsidRPr="00A5344E" w:rsidRDefault="00836EDF" w:rsidP="00836EDF">
      <w:pPr>
        <w:rPr>
          <w:rFonts w:asciiTheme="majorHAnsi" w:hAnsiTheme="majorHAnsi" w:cstheme="majorHAnsi"/>
          <w:szCs w:val="21"/>
        </w:rPr>
      </w:pPr>
      <w:r w:rsidRPr="005C3139">
        <w:rPr>
          <w:rFonts w:asciiTheme="majorHAnsi" w:hAnsiTheme="majorHAnsi" w:cstheme="majorHAnsi"/>
          <w:szCs w:val="21"/>
        </w:rPr>
        <w:lastRenderedPageBreak/>
        <w:t>Einzig bei der Abgeltung der Zentrumslasten erklärte sich der Regierungsrat aufgrund der stetigen kritischen Rückmeldungen bereit, die heute geltende Regelung zu Beginn der nächsten FILAG-Periode grundlegend zu überprüfen und dem Grossen Rat anschliessend einen Bericht bzw. eine Gesetzesrevision vorzulegen. Für ein neues Modell hat der Regierungsrat fünf Leitsätze formuliert</w:t>
      </w:r>
      <w:r w:rsidRPr="00E32917">
        <w:footnoteReference w:id="3"/>
      </w:r>
      <w:r w:rsidRPr="00E32917">
        <w:rPr>
          <w:rFonts w:asciiTheme="majorHAnsi" w:hAnsiTheme="majorHAnsi" w:cstheme="majorHAnsi"/>
          <w:szCs w:val="21"/>
        </w:rPr>
        <w:t>.</w:t>
      </w:r>
    </w:p>
    <w:p w14:paraId="38296D15" w14:textId="77777777" w:rsidR="00836EDF" w:rsidRPr="00E32917" w:rsidRDefault="00836EDF" w:rsidP="00836EDF">
      <w:pPr>
        <w:rPr>
          <w:rFonts w:asciiTheme="majorHAnsi" w:hAnsiTheme="majorHAnsi" w:cstheme="majorHAnsi"/>
          <w:szCs w:val="21"/>
        </w:rPr>
      </w:pPr>
    </w:p>
    <w:p w14:paraId="284A8C55" w14:textId="77777777" w:rsidR="00836EDF" w:rsidRPr="00E32917" w:rsidRDefault="00836EDF" w:rsidP="00836EDF">
      <w:pPr>
        <w:rPr>
          <w:rFonts w:asciiTheme="majorHAnsi" w:hAnsiTheme="majorHAnsi" w:cstheme="majorHAnsi"/>
          <w:szCs w:val="21"/>
        </w:rPr>
      </w:pPr>
      <w:r w:rsidRPr="00E32917">
        <w:rPr>
          <w:rFonts w:asciiTheme="majorHAnsi" w:hAnsiTheme="majorHAnsi" w:cstheme="majorHAnsi"/>
          <w:szCs w:val="21"/>
        </w:rPr>
        <w:t>Kurzfristig bestand aus Sicht des Regierungsrates weder betreffend den Kreis abgeltungsberechtigter Städte noch den Gesamtbetrag der Pauschalabgeltung an die Städte Bern, Biel und Thun Anpassungsbedarf. Gestützt auf die Neuerhebung der Zentrumslasten sollte aber die Aufteilung der Gesamtsumme der pauschalen Abgeltung auf die drei Städte angepasst werden.</w:t>
      </w:r>
    </w:p>
    <w:p w14:paraId="4EF65A37" w14:textId="77777777" w:rsidR="00836EDF" w:rsidRDefault="00836EDF" w:rsidP="00836EDF">
      <w:pPr>
        <w:rPr>
          <w:rFonts w:asciiTheme="majorHAnsi" w:hAnsiTheme="majorHAnsi" w:cstheme="majorHAnsi"/>
          <w:szCs w:val="21"/>
        </w:rPr>
      </w:pPr>
    </w:p>
    <w:p w14:paraId="1F9D348A" w14:textId="0646F3F6" w:rsidR="005B0AB6" w:rsidRDefault="005B0AB6" w:rsidP="005B0AB6">
      <w:pPr>
        <w:rPr>
          <w:rFonts w:cstheme="minorHAnsi"/>
          <w:bCs w:val="0"/>
          <w:spacing w:val="0"/>
          <w:szCs w:val="21"/>
        </w:rPr>
      </w:pPr>
      <w:r>
        <w:t>Der Grosse Rat hat den Bericht des Regierungsrates über die Erfolgskontrolle des FILAG in der Herbstsession 2024 beraten und den Regierungsrat mit zwei Planungserklärungen beauftragt. Zum einen soll er dem Grossen Rat bis spätestens</w:t>
      </w:r>
      <w:r w:rsidRPr="00B90E6D">
        <w:rPr>
          <w:rFonts w:cstheme="minorHAnsi"/>
          <w:bCs w:val="0"/>
          <w:spacing w:val="0"/>
          <w:szCs w:val="21"/>
        </w:rPr>
        <w:t xml:space="preserve"> zur Wintersession 2025 eine Vorlage zur Anpassung des FILAG</w:t>
      </w:r>
      <w:r>
        <w:rPr>
          <w:rFonts w:cstheme="minorHAnsi"/>
          <w:bCs w:val="0"/>
          <w:spacing w:val="0"/>
          <w:szCs w:val="21"/>
        </w:rPr>
        <w:t>s unterbreiten</w:t>
      </w:r>
      <w:r w:rsidRPr="00B90E6D">
        <w:rPr>
          <w:rFonts w:cstheme="minorHAnsi"/>
          <w:bCs w:val="0"/>
          <w:spacing w:val="0"/>
          <w:szCs w:val="21"/>
        </w:rPr>
        <w:t xml:space="preserve">, </w:t>
      </w:r>
      <w:r>
        <w:rPr>
          <w:rFonts w:cstheme="minorHAnsi"/>
          <w:bCs w:val="0"/>
          <w:spacing w:val="0"/>
          <w:szCs w:val="21"/>
        </w:rPr>
        <w:t>die</w:t>
      </w:r>
      <w:r w:rsidRPr="00B90E6D">
        <w:rPr>
          <w:rFonts w:cstheme="minorHAnsi"/>
          <w:bCs w:val="0"/>
          <w:spacing w:val="0"/>
          <w:szCs w:val="21"/>
        </w:rPr>
        <w:t xml:space="preserve"> neben den </w:t>
      </w:r>
      <w:r>
        <w:rPr>
          <w:rFonts w:cstheme="minorHAnsi"/>
          <w:bCs w:val="0"/>
          <w:spacing w:val="0"/>
          <w:szCs w:val="21"/>
        </w:rPr>
        <w:t>Gemeinden</w:t>
      </w:r>
      <w:r w:rsidRPr="00B90E6D">
        <w:rPr>
          <w:rFonts w:cstheme="minorHAnsi"/>
          <w:bCs w:val="0"/>
          <w:spacing w:val="0"/>
          <w:szCs w:val="21"/>
        </w:rPr>
        <w:t xml:space="preserve"> Bern, Biel und Thun auch für die </w:t>
      </w:r>
      <w:r>
        <w:rPr>
          <w:rFonts w:cstheme="minorHAnsi"/>
          <w:bCs w:val="0"/>
          <w:spacing w:val="0"/>
          <w:szCs w:val="21"/>
        </w:rPr>
        <w:t>Gemeinden</w:t>
      </w:r>
      <w:r w:rsidRPr="00B90E6D">
        <w:rPr>
          <w:rFonts w:cstheme="minorHAnsi"/>
          <w:bCs w:val="0"/>
          <w:spacing w:val="0"/>
          <w:szCs w:val="21"/>
        </w:rPr>
        <w:t xml:space="preserve"> Burgdorf und Langenthal eine Pauschalabgeltung der Zentrumslasten vorsieht</w:t>
      </w:r>
      <w:r>
        <w:rPr>
          <w:rFonts w:cstheme="minorHAnsi"/>
          <w:bCs w:val="0"/>
          <w:spacing w:val="0"/>
          <w:szCs w:val="21"/>
        </w:rPr>
        <w:t xml:space="preserve">. Zum anderen wird er beauftragt, dem Grossen Rat </w:t>
      </w:r>
      <w:r w:rsidRPr="008D5E54">
        <w:rPr>
          <w:rFonts w:cstheme="minorHAnsi"/>
          <w:bCs w:val="0"/>
          <w:spacing w:val="0"/>
          <w:szCs w:val="21"/>
        </w:rPr>
        <w:t>bis spätestens Ende 2027</w:t>
      </w:r>
      <w:r>
        <w:rPr>
          <w:rFonts w:cstheme="minorHAnsi"/>
          <w:bCs w:val="0"/>
          <w:spacing w:val="0"/>
          <w:szCs w:val="21"/>
        </w:rPr>
        <w:t xml:space="preserve"> </w:t>
      </w:r>
      <w:r w:rsidRPr="008D5E54">
        <w:rPr>
          <w:rFonts w:cstheme="minorHAnsi"/>
          <w:bCs w:val="0"/>
          <w:spacing w:val="0"/>
          <w:szCs w:val="21"/>
        </w:rPr>
        <w:t>die grundsätzliche Neuregelung der Zentrumslasten</w:t>
      </w:r>
      <w:r>
        <w:rPr>
          <w:rFonts w:cstheme="minorHAnsi"/>
          <w:bCs w:val="0"/>
          <w:spacing w:val="0"/>
          <w:szCs w:val="21"/>
        </w:rPr>
        <w:t xml:space="preserve"> im Rahmen einer weiteren Gesetzesrevision</w:t>
      </w:r>
      <w:r w:rsidRPr="008D5E54">
        <w:rPr>
          <w:rFonts w:cstheme="minorHAnsi"/>
          <w:bCs w:val="0"/>
          <w:spacing w:val="0"/>
          <w:szCs w:val="21"/>
        </w:rPr>
        <w:t xml:space="preserve"> </w:t>
      </w:r>
      <w:r>
        <w:rPr>
          <w:rFonts w:cstheme="minorHAnsi"/>
          <w:bCs w:val="0"/>
          <w:spacing w:val="0"/>
          <w:szCs w:val="21"/>
        </w:rPr>
        <w:t>zu unterbreiten.</w:t>
      </w:r>
    </w:p>
    <w:p w14:paraId="4B47D9C8" w14:textId="77777777" w:rsidR="005B0AB6" w:rsidRDefault="005B0AB6" w:rsidP="00836EDF">
      <w:pPr>
        <w:rPr>
          <w:rFonts w:asciiTheme="majorHAnsi" w:hAnsiTheme="majorHAnsi" w:cstheme="majorHAnsi"/>
          <w:szCs w:val="21"/>
        </w:rPr>
      </w:pPr>
    </w:p>
    <w:p w14:paraId="1B5D3519" w14:textId="0C28DDA3" w:rsidR="00836EDF" w:rsidRPr="00A5344E" w:rsidRDefault="00836EDF" w:rsidP="00A513C6">
      <w:pPr>
        <w:pStyle w:val="Textkrper"/>
        <w:rPr>
          <w:rFonts w:asciiTheme="majorHAnsi" w:hAnsiTheme="majorHAnsi" w:cstheme="majorHAnsi"/>
          <w:lang w:val="de-CH"/>
        </w:rPr>
      </w:pPr>
      <w:bookmarkStart w:id="54" w:name="_Toc158126538"/>
      <w:r w:rsidRPr="00A5344E">
        <w:rPr>
          <w:rFonts w:asciiTheme="majorHAnsi" w:hAnsiTheme="majorHAnsi" w:cstheme="majorHAnsi"/>
          <w:b/>
          <w:bCs w:val="0"/>
          <w:lang w:val="de-CH"/>
        </w:rPr>
        <w:t>Veränderungen des FILAG seit der letzten Erfolgskontrolle</w:t>
      </w:r>
      <w:bookmarkEnd w:id="54"/>
    </w:p>
    <w:p w14:paraId="61CAC6E3" w14:textId="77777777" w:rsidR="00836EDF" w:rsidRPr="00A5344E" w:rsidRDefault="00836EDF" w:rsidP="00836EDF">
      <w:pPr>
        <w:rPr>
          <w:rFonts w:asciiTheme="majorHAnsi" w:hAnsiTheme="majorHAnsi" w:cstheme="majorHAnsi"/>
          <w:szCs w:val="21"/>
        </w:rPr>
      </w:pPr>
    </w:p>
    <w:p w14:paraId="3B3CE541" w14:textId="77777777" w:rsidR="00836EDF" w:rsidRPr="00A5344E" w:rsidRDefault="00836EDF" w:rsidP="00836EDF">
      <w:pPr>
        <w:rPr>
          <w:rFonts w:asciiTheme="majorHAnsi" w:hAnsiTheme="majorHAnsi" w:cstheme="majorHAnsi"/>
          <w:szCs w:val="21"/>
        </w:rPr>
      </w:pPr>
      <w:r w:rsidRPr="00A5344E">
        <w:rPr>
          <w:rFonts w:asciiTheme="majorHAnsi" w:hAnsiTheme="majorHAnsi" w:cstheme="majorHAnsi"/>
          <w:szCs w:val="21"/>
        </w:rPr>
        <w:t>Im Vergleich zum Stand von 2016 – dem Zeitpunkt der letzten Erfolgskontrolle FILAG – haben sich die rechtlichen Grundlagen nur wenig verändert. Zu nennen sind aber folgende Entwicklungen:</w:t>
      </w:r>
    </w:p>
    <w:p w14:paraId="2A33D2F2" w14:textId="77777777" w:rsidR="00836EDF" w:rsidRPr="00A5344E" w:rsidRDefault="00836EDF" w:rsidP="00836EDF">
      <w:pPr>
        <w:pStyle w:val="Listenabsatz"/>
        <w:numPr>
          <w:ilvl w:val="0"/>
          <w:numId w:val="41"/>
        </w:numPr>
        <w:ind w:left="357" w:hanging="357"/>
        <w:contextualSpacing w:val="0"/>
        <w:rPr>
          <w:rFonts w:asciiTheme="majorHAnsi" w:hAnsiTheme="majorHAnsi" w:cstheme="majorHAnsi"/>
          <w:szCs w:val="21"/>
        </w:rPr>
      </w:pPr>
      <w:r w:rsidRPr="00A5344E">
        <w:rPr>
          <w:rFonts w:asciiTheme="majorHAnsi" w:hAnsiTheme="majorHAnsi" w:cstheme="majorHAnsi"/>
          <w:szCs w:val="21"/>
        </w:rPr>
        <w:t>Sozio-demografischer Zuschuss: Neu wird in dem für die Zuschüsse massgebenden Index auch die Anzahl Flüchtlinge in einer Gemeinde mitberücksichtigt.</w:t>
      </w:r>
    </w:p>
    <w:p w14:paraId="213049B6" w14:textId="01576577" w:rsidR="00836EDF" w:rsidRPr="00F978FE" w:rsidRDefault="00836EDF" w:rsidP="00836EDF">
      <w:pPr>
        <w:pStyle w:val="Listenabsatz"/>
        <w:numPr>
          <w:ilvl w:val="0"/>
          <w:numId w:val="41"/>
        </w:numPr>
        <w:ind w:left="357" w:hanging="357"/>
        <w:contextualSpacing w:val="0"/>
        <w:rPr>
          <w:rFonts w:asciiTheme="majorHAnsi" w:hAnsiTheme="majorHAnsi" w:cstheme="majorHAnsi"/>
          <w:szCs w:val="21"/>
        </w:rPr>
      </w:pPr>
      <w:r w:rsidRPr="00F978FE">
        <w:rPr>
          <w:rFonts w:asciiTheme="majorHAnsi" w:hAnsiTheme="majorHAnsi" w:cstheme="majorHAnsi"/>
          <w:szCs w:val="21"/>
        </w:rPr>
        <w:t xml:space="preserve">LA </w:t>
      </w:r>
      <w:r w:rsidR="001944E1" w:rsidRPr="00F978FE">
        <w:rPr>
          <w:rFonts w:asciiTheme="majorHAnsi" w:hAnsiTheme="majorHAnsi" w:cstheme="majorHAnsi"/>
          <w:szCs w:val="21"/>
        </w:rPr>
        <w:t>Soziales</w:t>
      </w:r>
      <w:r w:rsidRPr="00F978FE">
        <w:rPr>
          <w:rFonts w:asciiTheme="majorHAnsi" w:hAnsiTheme="majorHAnsi" w:cstheme="majorHAnsi"/>
          <w:szCs w:val="21"/>
        </w:rPr>
        <w:t>: Das im Rahmen der Reform FILAG 2012 eingeführte Bonus-Malus-System wurde im Jahr 2018 durch den Regierungsrat wieder abgeschafft. Unabhängig davon fliessen die Personalkosten der Sozialdienste neu in Form von Pauschalen in den Lastenausgleich ein.</w:t>
      </w:r>
    </w:p>
    <w:p w14:paraId="54887CA5" w14:textId="77777777" w:rsidR="00836EDF" w:rsidRPr="00F978FE" w:rsidRDefault="00836EDF" w:rsidP="00836EDF">
      <w:pPr>
        <w:pStyle w:val="Listenabsatz"/>
        <w:numPr>
          <w:ilvl w:val="0"/>
          <w:numId w:val="41"/>
        </w:numPr>
        <w:ind w:left="357" w:hanging="357"/>
        <w:contextualSpacing w:val="0"/>
        <w:rPr>
          <w:rFonts w:asciiTheme="majorHAnsi" w:hAnsiTheme="majorHAnsi" w:cstheme="majorHAnsi"/>
          <w:szCs w:val="21"/>
        </w:rPr>
      </w:pPr>
      <w:r w:rsidRPr="00F978FE">
        <w:rPr>
          <w:rFonts w:asciiTheme="majorHAnsi" w:hAnsiTheme="majorHAnsi" w:cstheme="majorHAnsi"/>
          <w:szCs w:val="21"/>
        </w:rPr>
        <w:t>LA Neue Aufgabenteilung: Im Bereich Asyl und Flüchtlinge sowie in der Volksschule wurden dem Lastenausgleich einige wenige neue Elemente hinzugefügt. Diese fielen etwa zur Hälfte zugunsten des Kantons und der Gemeinden aus. Der Saldo im Lastenausgleich hat sich dadurch kaum verändert.</w:t>
      </w:r>
    </w:p>
    <w:p w14:paraId="1322A242" w14:textId="0450F25B" w:rsidR="00836EDF" w:rsidRPr="00A5344E" w:rsidRDefault="00836EDF" w:rsidP="00836EDF">
      <w:pPr>
        <w:rPr>
          <w:rFonts w:asciiTheme="majorHAnsi" w:hAnsiTheme="majorHAnsi" w:cstheme="majorHAnsi"/>
          <w:szCs w:val="21"/>
        </w:rPr>
      </w:pPr>
      <w:r w:rsidRPr="00F978FE">
        <w:rPr>
          <w:rFonts w:asciiTheme="majorHAnsi" w:hAnsiTheme="majorHAnsi" w:cstheme="majorHAnsi"/>
          <w:szCs w:val="21"/>
        </w:rPr>
        <w:t xml:space="preserve">Aufgrund der Totalrevision des Gesetzes vom 11. Juni 2001 über die öffentliche Sozialhilfe (Sozialhilfegesetz, SHG; BSG 860.1) könnten sich in den nächsten Jahren weitere Änderungen ergeben, die sich auf die Mechanismen und das Volumen des LA </w:t>
      </w:r>
      <w:r w:rsidR="001944E1" w:rsidRPr="00F978FE">
        <w:rPr>
          <w:rFonts w:asciiTheme="majorHAnsi" w:hAnsiTheme="majorHAnsi" w:cstheme="majorHAnsi"/>
          <w:szCs w:val="21"/>
        </w:rPr>
        <w:t>Soziales</w:t>
      </w:r>
      <w:r w:rsidRPr="00F978FE">
        <w:rPr>
          <w:rFonts w:asciiTheme="majorHAnsi" w:hAnsiTheme="majorHAnsi" w:cstheme="majorHAnsi"/>
          <w:szCs w:val="21"/>
        </w:rPr>
        <w:t xml:space="preserve"> auswirken </w:t>
      </w:r>
      <w:r w:rsidRPr="00A5344E">
        <w:rPr>
          <w:rFonts w:asciiTheme="majorHAnsi" w:hAnsiTheme="majorHAnsi" w:cstheme="majorHAnsi"/>
          <w:szCs w:val="21"/>
        </w:rPr>
        <w:t>könnten.</w:t>
      </w:r>
    </w:p>
    <w:p w14:paraId="0C1F72CC" w14:textId="77777777" w:rsidR="00836EDF" w:rsidRPr="00A5344E" w:rsidRDefault="00836EDF" w:rsidP="00836EDF">
      <w:pPr>
        <w:pStyle w:val="Aufzhlungszeichen"/>
        <w:numPr>
          <w:ilvl w:val="0"/>
          <w:numId w:val="0"/>
        </w:numPr>
        <w:ind w:left="284" w:hanging="284"/>
        <w:contextualSpacing w:val="0"/>
        <w:rPr>
          <w:rFonts w:asciiTheme="majorHAnsi" w:hAnsiTheme="majorHAnsi" w:cstheme="majorHAnsi"/>
        </w:rPr>
      </w:pPr>
    </w:p>
    <w:p w14:paraId="73FD7037" w14:textId="1194AA81" w:rsidR="001E0DF4" w:rsidRPr="00A5344E" w:rsidRDefault="001E0DF4" w:rsidP="001E0DF4">
      <w:pPr>
        <w:pStyle w:val="H1"/>
        <w:numPr>
          <w:ilvl w:val="0"/>
          <w:numId w:val="0"/>
        </w:numPr>
        <w:ind w:left="851"/>
        <w:rPr>
          <w:rFonts w:cstheme="majorHAnsi"/>
        </w:rPr>
      </w:pPr>
      <w:bookmarkStart w:id="55" w:name="_Toc191888255"/>
      <w:r w:rsidRPr="00A5344E">
        <w:rPr>
          <w:rFonts w:cstheme="majorHAnsi"/>
        </w:rPr>
        <w:lastRenderedPageBreak/>
        <w:t>Anhang 2:</w:t>
      </w:r>
      <w:r w:rsidRPr="00A5344E">
        <w:rPr>
          <w:rFonts w:cstheme="majorHAnsi"/>
        </w:rPr>
        <w:tab/>
        <w:t>Übersicht der Grundlagen für die Feinsteuerung des FILAG</w:t>
      </w:r>
      <w:bookmarkEnd w:id="55"/>
    </w:p>
    <w:tbl>
      <w:tblPr>
        <w:tblStyle w:val="Ecoplankombi"/>
        <w:tblW w:w="5000" w:type="pct"/>
        <w:tblLook w:val="01E0" w:firstRow="1" w:lastRow="1" w:firstColumn="1" w:lastColumn="1" w:noHBand="0" w:noVBand="0"/>
      </w:tblPr>
      <w:tblGrid>
        <w:gridCol w:w="2524"/>
        <w:gridCol w:w="3327"/>
        <w:gridCol w:w="4127"/>
      </w:tblGrid>
      <w:tr w:rsidR="00F9794B" w:rsidRPr="00F9794B" w14:paraId="70C33883" w14:textId="77777777" w:rsidTr="001441EF">
        <w:trPr>
          <w:cnfStyle w:val="100000000000" w:firstRow="1" w:lastRow="0" w:firstColumn="0" w:lastColumn="0" w:oddVBand="0" w:evenVBand="0" w:oddHBand="0" w:evenHBand="0" w:firstRowFirstColumn="0" w:firstRowLastColumn="0" w:lastRowFirstColumn="0" w:lastRowLastColumn="0"/>
        </w:trPr>
        <w:tc>
          <w:tcPr>
            <w:tcW w:w="1265" w:type="pct"/>
            <w:shd w:val="clear" w:color="auto" w:fill="3C505A" w:themeFill="accent1"/>
          </w:tcPr>
          <w:p w14:paraId="2FE47AA6" w14:textId="77777777" w:rsidR="001E0DF4" w:rsidRPr="009701B5" w:rsidRDefault="001E0DF4" w:rsidP="001441EF">
            <w:pPr>
              <w:pStyle w:val="Tabellentext"/>
              <w:rPr>
                <w:rFonts w:asciiTheme="majorHAnsi" w:hAnsiTheme="majorHAnsi" w:cstheme="majorHAnsi"/>
                <w:b/>
                <w:bCs/>
                <w:color w:val="FFFFFF" w:themeColor="background1"/>
                <w:lang w:eastAsia="de-CH"/>
              </w:rPr>
            </w:pPr>
            <w:r w:rsidRPr="009701B5">
              <w:rPr>
                <w:rFonts w:asciiTheme="majorHAnsi" w:eastAsia="MS PGothic" w:hAnsiTheme="majorHAnsi" w:cstheme="majorHAnsi"/>
                <w:b/>
                <w:bCs/>
                <w:color w:val="FFFFFF" w:themeColor="background1"/>
                <w:lang w:eastAsia="en-US"/>
              </w:rPr>
              <w:t>Bereich / Instrument</w:t>
            </w:r>
          </w:p>
        </w:tc>
        <w:tc>
          <w:tcPr>
            <w:tcW w:w="1667" w:type="pct"/>
            <w:shd w:val="clear" w:color="auto" w:fill="3C505A" w:themeFill="accent1"/>
          </w:tcPr>
          <w:p w14:paraId="6B4210A3" w14:textId="77777777" w:rsidR="001E0DF4" w:rsidRPr="009701B5" w:rsidRDefault="001E0DF4" w:rsidP="001441EF">
            <w:pPr>
              <w:pStyle w:val="Tabellentext"/>
              <w:rPr>
                <w:rFonts w:asciiTheme="majorHAnsi" w:hAnsiTheme="majorHAnsi" w:cstheme="majorHAnsi"/>
                <w:b/>
                <w:bCs/>
                <w:color w:val="FFFFFF" w:themeColor="background1"/>
                <w:lang w:eastAsia="de-CH"/>
              </w:rPr>
            </w:pPr>
            <w:r w:rsidRPr="009701B5">
              <w:rPr>
                <w:rFonts w:asciiTheme="majorHAnsi" w:eastAsia="MS PGothic" w:hAnsiTheme="majorHAnsi" w:cstheme="majorHAnsi"/>
                <w:b/>
                <w:bCs/>
                <w:color w:val="FFFFFF" w:themeColor="background1"/>
                <w:lang w:eastAsia="en-US"/>
              </w:rPr>
              <w:t>Rechtsgrundlagen</w:t>
            </w:r>
          </w:p>
        </w:tc>
        <w:tc>
          <w:tcPr>
            <w:tcW w:w="2068" w:type="pct"/>
            <w:shd w:val="clear" w:color="auto" w:fill="3C505A" w:themeFill="accent1"/>
          </w:tcPr>
          <w:p w14:paraId="6085315A" w14:textId="77777777" w:rsidR="001E0DF4" w:rsidRPr="009701B5" w:rsidRDefault="001E0DF4" w:rsidP="001441EF">
            <w:pPr>
              <w:pStyle w:val="Tabellentext"/>
              <w:rPr>
                <w:rFonts w:asciiTheme="majorHAnsi" w:hAnsiTheme="majorHAnsi" w:cstheme="majorHAnsi"/>
                <w:b/>
                <w:bCs/>
                <w:color w:val="FFFFFF" w:themeColor="background1"/>
                <w:lang w:eastAsia="de-CH"/>
              </w:rPr>
            </w:pPr>
            <w:r w:rsidRPr="009701B5">
              <w:rPr>
                <w:rFonts w:asciiTheme="majorHAnsi" w:eastAsia="MS PGothic" w:hAnsiTheme="majorHAnsi" w:cstheme="majorHAnsi"/>
                <w:b/>
                <w:bCs/>
                <w:color w:val="FFFFFF" w:themeColor="background1"/>
                <w:lang w:eastAsia="en-US"/>
              </w:rPr>
              <w:t>Parameter</w:t>
            </w:r>
          </w:p>
        </w:tc>
      </w:tr>
      <w:tr w:rsidR="001E0DF4" w:rsidRPr="00A5344E" w14:paraId="5D08D3A5"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shd w:val="clear" w:color="auto" w:fill="A8BBC5" w:themeFill="accent1" w:themeFillTint="66"/>
          </w:tcPr>
          <w:p w14:paraId="0C5BEC3C"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eastAsia="MS PGothic" w:hAnsiTheme="majorHAnsi" w:cstheme="majorHAnsi"/>
                <w:lang w:eastAsia="en-US"/>
              </w:rPr>
              <w:t>Finanzausgleich (FA)</w:t>
            </w:r>
            <w:r w:rsidRPr="00A5344E">
              <w:rPr>
                <w:rFonts w:asciiTheme="majorHAnsi" w:hAnsiTheme="majorHAnsi" w:cstheme="majorHAnsi"/>
                <w:lang w:eastAsia="de-CH"/>
              </w:rPr>
              <w:t xml:space="preserve"> </w:t>
            </w:r>
          </w:p>
        </w:tc>
        <w:tc>
          <w:tcPr>
            <w:tcW w:w="1667" w:type="pct"/>
            <w:shd w:val="clear" w:color="auto" w:fill="A8BBC5" w:themeFill="accent1" w:themeFillTint="66"/>
          </w:tcPr>
          <w:p w14:paraId="3D8269FA" w14:textId="77777777" w:rsidR="001E0DF4" w:rsidRPr="00A5344E" w:rsidRDefault="001E0DF4" w:rsidP="001441EF">
            <w:pPr>
              <w:pStyle w:val="Tabellentext"/>
              <w:rPr>
                <w:rFonts w:asciiTheme="majorHAnsi" w:hAnsiTheme="majorHAnsi" w:cstheme="majorHAnsi"/>
                <w:lang w:eastAsia="de-CH"/>
              </w:rPr>
            </w:pPr>
          </w:p>
        </w:tc>
        <w:tc>
          <w:tcPr>
            <w:tcW w:w="2068" w:type="pct"/>
            <w:shd w:val="clear" w:color="auto" w:fill="A8BBC5" w:themeFill="accent1" w:themeFillTint="66"/>
          </w:tcPr>
          <w:p w14:paraId="4F286DCB" w14:textId="77777777" w:rsidR="001E0DF4" w:rsidRPr="00A5344E" w:rsidRDefault="001E0DF4" w:rsidP="001441EF">
            <w:pPr>
              <w:pStyle w:val="Tabellentext"/>
              <w:rPr>
                <w:rFonts w:asciiTheme="majorHAnsi" w:hAnsiTheme="majorHAnsi" w:cstheme="majorHAnsi"/>
                <w:lang w:eastAsia="de-CH"/>
              </w:rPr>
            </w:pPr>
          </w:p>
        </w:tc>
      </w:tr>
      <w:tr w:rsidR="001E0DF4" w:rsidRPr="00A5344E" w14:paraId="70A30E57" w14:textId="77777777" w:rsidTr="001441EF">
        <w:trPr>
          <w:cnfStyle w:val="000000010000" w:firstRow="0" w:lastRow="0" w:firstColumn="0" w:lastColumn="0" w:oddVBand="0" w:evenVBand="0" w:oddHBand="0" w:evenHBand="1" w:firstRowFirstColumn="0" w:firstRowLastColumn="0" w:lastRowFirstColumn="0" w:lastRowLastColumn="0"/>
        </w:trPr>
        <w:tc>
          <w:tcPr>
            <w:tcW w:w="1265" w:type="pct"/>
          </w:tcPr>
          <w:p w14:paraId="36AC450C"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eastAsia="MS PGothic" w:hAnsiTheme="majorHAnsi" w:cstheme="majorHAnsi"/>
                <w:lang w:eastAsia="en-US"/>
              </w:rPr>
              <w:t>Disparitätenabbau</w:t>
            </w:r>
          </w:p>
        </w:tc>
        <w:tc>
          <w:tcPr>
            <w:tcW w:w="1667" w:type="pct"/>
          </w:tcPr>
          <w:p w14:paraId="09E1AA9D" w14:textId="2B581261"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 xml:space="preserve">Art. 10 FILAG (Bandbreite 37 bis 42 </w:t>
            </w:r>
            <w:r w:rsidR="00827FD3" w:rsidRPr="00A5344E">
              <w:rPr>
                <w:rFonts w:asciiTheme="majorHAnsi" w:hAnsiTheme="majorHAnsi" w:cstheme="majorHAnsi"/>
                <w:lang w:eastAsia="de-CH"/>
              </w:rPr>
              <w:t>Prozent</w:t>
            </w:r>
            <w:r w:rsidR="00F9794B">
              <w:rPr>
                <w:rFonts w:asciiTheme="majorHAnsi" w:hAnsiTheme="majorHAnsi" w:cstheme="majorHAnsi"/>
                <w:lang w:eastAsia="de-CH"/>
              </w:rPr>
              <w:t>)</w:t>
            </w:r>
          </w:p>
          <w:p w14:paraId="315B06ED"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8 FILAV (massgebender Satz)</w:t>
            </w:r>
          </w:p>
        </w:tc>
        <w:tc>
          <w:tcPr>
            <w:tcW w:w="2068" w:type="pct"/>
          </w:tcPr>
          <w:p w14:paraId="0C258D4A"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Massgebender Satz für den Vollzug des Disparitätenabbaus</w:t>
            </w:r>
          </w:p>
          <w:p w14:paraId="17AA0589" w14:textId="7052927F"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 xml:space="preserve">Aktueller Wert: 37 </w:t>
            </w:r>
            <w:r w:rsidR="00827FD3" w:rsidRPr="00A5344E">
              <w:rPr>
                <w:rFonts w:asciiTheme="majorHAnsi" w:hAnsiTheme="majorHAnsi" w:cstheme="majorHAnsi"/>
                <w:bCs/>
                <w:lang w:eastAsia="de-CH"/>
              </w:rPr>
              <w:t>Prozent</w:t>
            </w:r>
          </w:p>
        </w:tc>
      </w:tr>
      <w:tr w:rsidR="001E0DF4" w:rsidRPr="00A5344E" w14:paraId="39F41D76"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tcPr>
          <w:p w14:paraId="3A6A1AF0"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eastAsia="MS PGothic" w:hAnsiTheme="majorHAnsi" w:cstheme="majorHAnsi"/>
                <w:lang w:eastAsia="en-US"/>
              </w:rPr>
              <w:t>Mindestausstattung</w:t>
            </w:r>
          </w:p>
        </w:tc>
        <w:tc>
          <w:tcPr>
            <w:tcW w:w="1667" w:type="pct"/>
          </w:tcPr>
          <w:p w14:paraId="1398426E"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11 FILAG (Bandbreite HEI 75 bis 90)</w:t>
            </w:r>
          </w:p>
          <w:p w14:paraId="53393640"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8 FILAV (massgebender HEI)</w:t>
            </w:r>
          </w:p>
        </w:tc>
        <w:tc>
          <w:tcPr>
            <w:tcW w:w="2068" w:type="pct"/>
          </w:tcPr>
          <w:p w14:paraId="54E3093E"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Massgebender harmonisierter Steuerertragsindex (HEI) für den Vollzug der Mindestausstattung</w:t>
            </w:r>
          </w:p>
          <w:p w14:paraId="24E6811E"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Aktueller Wert: 86</w:t>
            </w:r>
          </w:p>
        </w:tc>
      </w:tr>
      <w:tr w:rsidR="001E0DF4" w:rsidRPr="00A5344E" w14:paraId="5A2442B1" w14:textId="77777777" w:rsidTr="001441EF">
        <w:trPr>
          <w:cnfStyle w:val="000000010000" w:firstRow="0" w:lastRow="0" w:firstColumn="0" w:lastColumn="0" w:oddVBand="0" w:evenVBand="0" w:oddHBand="0" w:evenHBand="1" w:firstRowFirstColumn="0" w:firstRowLastColumn="0" w:lastRowFirstColumn="0" w:lastRowLastColumn="0"/>
        </w:trPr>
        <w:tc>
          <w:tcPr>
            <w:tcW w:w="5000" w:type="pct"/>
            <w:gridSpan w:val="3"/>
            <w:shd w:val="clear" w:color="auto" w:fill="A8BBC5" w:themeFill="accent1" w:themeFillTint="66"/>
          </w:tcPr>
          <w:p w14:paraId="651B0F3B"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eastAsia="MS PGothic" w:hAnsiTheme="majorHAnsi" w:cstheme="majorHAnsi"/>
                <w:lang w:eastAsia="en-US"/>
              </w:rPr>
              <w:t>Massnahmen für besonders belastete Gemeinden</w:t>
            </w:r>
          </w:p>
        </w:tc>
      </w:tr>
      <w:tr w:rsidR="001E0DF4" w:rsidRPr="00A5344E" w14:paraId="2A1A31CB"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tcPr>
          <w:p w14:paraId="3C1F6E99"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eastAsia="MS PGothic" w:hAnsiTheme="majorHAnsi" w:cstheme="majorHAnsi"/>
                <w:lang w:eastAsia="en-US"/>
              </w:rPr>
              <w:t>Abgeltung Zentrumslasten</w:t>
            </w:r>
          </w:p>
        </w:tc>
        <w:tc>
          <w:tcPr>
            <w:tcW w:w="1667" w:type="pct"/>
          </w:tcPr>
          <w:p w14:paraId="1CE2A572"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15 und 16 FILAG (Bern, Biel und Thun)</w:t>
            </w:r>
          </w:p>
          <w:p w14:paraId="3DF1D34A"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9 und 10 FILAV (Vorgehen, Berechnung)</w:t>
            </w:r>
          </w:p>
        </w:tc>
        <w:tc>
          <w:tcPr>
            <w:tcW w:w="2068" w:type="pct"/>
          </w:tcPr>
          <w:p w14:paraId="1B370DD4" w14:textId="07877E0D"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Berichterstattung Zentrumslasten</w:t>
            </w:r>
          </w:p>
        </w:tc>
      </w:tr>
      <w:tr w:rsidR="001E0DF4" w:rsidRPr="00A5344E" w14:paraId="3B22DFB8" w14:textId="77777777" w:rsidTr="001441EF">
        <w:trPr>
          <w:cnfStyle w:val="000000010000" w:firstRow="0" w:lastRow="0" w:firstColumn="0" w:lastColumn="0" w:oddVBand="0" w:evenVBand="0" w:oddHBand="0" w:evenHBand="1" w:firstRowFirstColumn="0" w:firstRowLastColumn="0" w:lastRowFirstColumn="0" w:lastRowLastColumn="0"/>
        </w:trPr>
        <w:tc>
          <w:tcPr>
            <w:tcW w:w="1265" w:type="pct"/>
            <w:vMerge w:val="restart"/>
          </w:tcPr>
          <w:p w14:paraId="49F50B6E" w14:textId="77777777" w:rsidR="001E0DF4" w:rsidRPr="00A5344E" w:rsidRDefault="001E0DF4" w:rsidP="001441EF">
            <w:pPr>
              <w:pStyle w:val="Tabellentext"/>
              <w:rPr>
                <w:rFonts w:asciiTheme="majorHAnsi" w:eastAsia="MS PGothic" w:hAnsiTheme="majorHAnsi" w:cstheme="majorHAnsi"/>
                <w:lang w:eastAsia="en-US"/>
              </w:rPr>
            </w:pPr>
            <w:r w:rsidRPr="00A5344E">
              <w:rPr>
                <w:rFonts w:asciiTheme="majorHAnsi" w:eastAsia="MS PGothic" w:hAnsiTheme="majorHAnsi" w:cstheme="majorHAnsi"/>
                <w:lang w:eastAsia="en-US"/>
              </w:rPr>
              <w:t>Zuschüsse</w:t>
            </w:r>
          </w:p>
        </w:tc>
        <w:tc>
          <w:tcPr>
            <w:tcW w:w="1667" w:type="pct"/>
          </w:tcPr>
          <w:p w14:paraId="58C45283"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18 FILAG (geografisch-topografische Lasten)</w:t>
            </w:r>
          </w:p>
          <w:p w14:paraId="7E9E621F"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21 FILAG (CHF 30 bis 50 Mio.)</w:t>
            </w:r>
          </w:p>
          <w:p w14:paraId="1D274D1A"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12 und 13 FILAV (Berechnung)</w:t>
            </w:r>
          </w:p>
        </w:tc>
        <w:tc>
          <w:tcPr>
            <w:tcW w:w="2068" w:type="pct"/>
          </w:tcPr>
          <w:p w14:paraId="465B6447" w14:textId="29521C91"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Flächen und Strassenlänge</w:t>
            </w:r>
          </w:p>
        </w:tc>
      </w:tr>
      <w:tr w:rsidR="001E0DF4" w:rsidRPr="00A5344E" w14:paraId="20F71E0D" w14:textId="77777777" w:rsidTr="001441EF">
        <w:trPr>
          <w:cnfStyle w:val="000000100000" w:firstRow="0" w:lastRow="0" w:firstColumn="0" w:lastColumn="0" w:oddVBand="0" w:evenVBand="0" w:oddHBand="1" w:evenHBand="0" w:firstRowFirstColumn="0" w:firstRowLastColumn="0" w:lastRowFirstColumn="0" w:lastRowLastColumn="0"/>
        </w:trPr>
        <w:tc>
          <w:tcPr>
            <w:tcW w:w="1265" w:type="pct"/>
            <w:vMerge/>
          </w:tcPr>
          <w:p w14:paraId="43ED6D36" w14:textId="77777777" w:rsidR="001E0DF4" w:rsidRPr="00A5344E" w:rsidRDefault="001E0DF4" w:rsidP="001441EF">
            <w:pPr>
              <w:pStyle w:val="Tabellentext"/>
              <w:rPr>
                <w:rFonts w:asciiTheme="majorHAnsi" w:hAnsiTheme="majorHAnsi" w:cstheme="majorHAnsi"/>
                <w:lang w:eastAsia="de-CH"/>
              </w:rPr>
            </w:pPr>
          </w:p>
        </w:tc>
        <w:tc>
          <w:tcPr>
            <w:tcW w:w="1667" w:type="pct"/>
          </w:tcPr>
          <w:p w14:paraId="06838285"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21a FILAG (soziodemografische Lasten)</w:t>
            </w:r>
          </w:p>
          <w:p w14:paraId="7E32C9E1"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15 FILAV (Berechnung)</w:t>
            </w:r>
          </w:p>
        </w:tc>
        <w:tc>
          <w:tcPr>
            <w:tcW w:w="2068" w:type="pct"/>
          </w:tcPr>
          <w:p w14:paraId="77C02277" w14:textId="5B3FA72A"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Diverse Bevölkerungsfaktoren</w:t>
            </w:r>
          </w:p>
        </w:tc>
      </w:tr>
      <w:tr w:rsidR="001E0DF4" w:rsidRPr="00A5344E" w14:paraId="782AFD60" w14:textId="77777777" w:rsidTr="001441EF">
        <w:trPr>
          <w:cnfStyle w:val="010000000000" w:firstRow="0" w:lastRow="1" w:firstColumn="0" w:lastColumn="0" w:oddVBand="0" w:evenVBand="0" w:oddHBand="0" w:evenHBand="0" w:firstRowFirstColumn="0" w:firstRowLastColumn="0" w:lastRowFirstColumn="0" w:lastRowLastColumn="0"/>
        </w:trPr>
        <w:tc>
          <w:tcPr>
            <w:tcW w:w="1265" w:type="pct"/>
          </w:tcPr>
          <w:p w14:paraId="4348A513"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Verweigerung von Zuschüssen</w:t>
            </w:r>
          </w:p>
          <w:p w14:paraId="54F1A743"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(Mindestausstattung und geografisch-topografischer Zuschuss)</w:t>
            </w:r>
          </w:p>
        </w:tc>
        <w:tc>
          <w:tcPr>
            <w:tcW w:w="1667" w:type="pct"/>
          </w:tcPr>
          <w:p w14:paraId="55AA9B9E"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35 FILAG (Verweigerung von Zuschüssen)</w:t>
            </w:r>
          </w:p>
          <w:p w14:paraId="0D20D3EB"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19 FILAV Mindestausstattung</w:t>
            </w:r>
          </w:p>
          <w:p w14:paraId="3F6E97D7" w14:textId="77777777" w:rsidR="001E0DF4" w:rsidRPr="00A5344E" w:rsidRDefault="001E0DF4" w:rsidP="001441EF">
            <w:pPr>
              <w:pStyle w:val="Tabellentext"/>
              <w:rPr>
                <w:rFonts w:asciiTheme="majorHAnsi" w:hAnsiTheme="majorHAnsi" w:cstheme="majorHAnsi"/>
                <w:lang w:eastAsia="de-CH"/>
              </w:rPr>
            </w:pPr>
            <w:r w:rsidRPr="00A5344E">
              <w:rPr>
                <w:rFonts w:asciiTheme="majorHAnsi" w:hAnsiTheme="majorHAnsi" w:cstheme="majorHAnsi"/>
                <w:lang w:eastAsia="de-CH"/>
              </w:rPr>
              <w:t>Art. 20 FILAV geografisch-topografischer Zuschuss</w:t>
            </w:r>
          </w:p>
        </w:tc>
        <w:tc>
          <w:tcPr>
            <w:tcW w:w="2068" w:type="pct"/>
          </w:tcPr>
          <w:p w14:paraId="10C3F929"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Finanzielle Situation der Gemeinde</w:t>
            </w:r>
          </w:p>
          <w:p w14:paraId="493A5C81"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Wert Kennzahlenmix (Mindestausstattung)</w:t>
            </w:r>
          </w:p>
          <w:p w14:paraId="5EFBAD0F" w14:textId="77777777" w:rsidR="001E0DF4" w:rsidRPr="00A5344E" w:rsidRDefault="001E0DF4" w:rsidP="001441EF">
            <w:pPr>
              <w:pStyle w:val="Tabellentext"/>
              <w:rPr>
                <w:rFonts w:asciiTheme="majorHAnsi" w:hAnsiTheme="majorHAnsi" w:cstheme="majorHAnsi"/>
                <w:bCs/>
                <w:lang w:eastAsia="de-CH"/>
              </w:rPr>
            </w:pPr>
            <w:r w:rsidRPr="00A5344E">
              <w:rPr>
                <w:rFonts w:asciiTheme="majorHAnsi" w:hAnsiTheme="majorHAnsi" w:cstheme="majorHAnsi"/>
                <w:bCs/>
                <w:lang w:eastAsia="de-CH"/>
              </w:rPr>
              <w:t>HEI von mindestens 120, Bandbreite HEI 140 bis 160 (</w:t>
            </w:r>
            <w:r w:rsidRPr="00A5344E">
              <w:rPr>
                <w:rFonts w:asciiTheme="majorHAnsi" w:hAnsiTheme="majorHAnsi" w:cstheme="majorHAnsi"/>
                <w:lang w:eastAsia="de-CH"/>
              </w:rPr>
              <w:t>geografisch-topografischer Zuschuss</w:t>
            </w:r>
            <w:r w:rsidRPr="00A5344E">
              <w:rPr>
                <w:rFonts w:asciiTheme="majorHAnsi" w:hAnsiTheme="majorHAnsi" w:cstheme="majorHAnsi"/>
                <w:bCs/>
                <w:lang w:eastAsia="de-CH"/>
              </w:rPr>
              <w:t>)</w:t>
            </w:r>
          </w:p>
        </w:tc>
      </w:tr>
    </w:tbl>
    <w:p w14:paraId="7E6D371F" w14:textId="77777777" w:rsidR="001E0DF4" w:rsidRPr="00A5344E" w:rsidRDefault="001E0DF4" w:rsidP="001E0DF4">
      <w:pPr>
        <w:rPr>
          <w:rFonts w:asciiTheme="majorHAnsi" w:hAnsiTheme="majorHAnsi" w:cstheme="majorHAnsi"/>
        </w:rPr>
      </w:pPr>
    </w:p>
    <w:sectPr w:rsidR="001E0DF4" w:rsidRPr="00A5344E" w:rsidSect="007254A0">
      <w:headerReference w:type="default" r:id="rId16"/>
      <w:footerReference w:type="default" r:id="rId17"/>
      <w:headerReference w:type="first" r:id="rId18"/>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66A2" w14:textId="77777777" w:rsidR="00814704" w:rsidRDefault="00814704" w:rsidP="00F91D37">
      <w:pPr>
        <w:spacing w:line="240" w:lineRule="auto"/>
      </w:pPr>
      <w:r>
        <w:separator/>
      </w:r>
    </w:p>
  </w:endnote>
  <w:endnote w:type="continuationSeparator" w:id="0">
    <w:p w14:paraId="18E3ECC1" w14:textId="77777777" w:rsidR="00814704" w:rsidRDefault="0081470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7201" w14:textId="77777777" w:rsidR="00797FDE" w:rsidRPr="00BD4A9C" w:rsidRDefault="0038719B" w:rsidP="00632704">
    <w:pPr>
      <w:pStyle w:val="Fuzeile"/>
    </w:pPr>
    <w:r>
      <w:fldChar w:fldCharType="begin"/>
    </w:r>
    <w:r>
      <w:instrText xml:space="preserve"> REF  Klassifizierung </w:instrText>
    </w:r>
    <w:r>
      <w:fldChar w:fldCharType="separate"/>
    </w:r>
    <w:sdt>
      <w:sdtPr>
        <w:rPr>
          <w:rFonts w:ascii="Arial" w:eastAsia="Arial" w:hAnsi="Arial"/>
          <w:sz w:val="17"/>
        </w:rPr>
        <w:id w:val="-382641947"/>
        <w:placeholder>
          <w:docPart w:val="45108E1F063146478E6A6A52592A46A0"/>
        </w:placeholder>
        <w:showingPlcHdr/>
        <w:comboBox>
          <w:listItem w:displayText="Nicht klassifiziert" w:value="Nicht klassifiziert"/>
          <w:listItem w:displayText="INTERN" w:value="INTERN"/>
          <w:listItem w:displayText="VERTRAULICH" w:value="VERTRAULICH"/>
          <w:listItem w:displayText="GEHEIM" w:value="GEHEIM"/>
        </w:comboBox>
      </w:sdtPr>
      <w:sdtEndPr/>
      <w:sdtContent>
        <w:r w:rsidRPr="004B5A6F">
          <w:rPr>
            <w:rFonts w:ascii="Arial" w:eastAsia="Arial" w:hAnsi="Arial"/>
            <w:sz w:val="17"/>
          </w:rPr>
          <w:t xml:space="preserve"> </w:t>
        </w:r>
        <w:r w:rsidRPr="004B5A6F">
          <w:rPr>
            <w:rFonts w:ascii="Arial" w:eastAsia="Arial" w:hAnsi="Arial"/>
            <w:vanish/>
            <w:color w:val="7D9AA8" w:themeColor="accent1" w:themeTint="99"/>
            <w:sz w:val="17"/>
          </w:rPr>
          <w:t>Klassifizierung auswählen</w:t>
        </w:r>
      </w:sdtContent>
    </w:sdt>
    <w:r>
      <w:fldChar w:fldCharType="end"/>
    </w:r>
    <w:r>
      <w:rPr>
        <w:noProof/>
        <w:lang w:eastAsia="de-CH"/>
      </w:rPr>
      <mc:AlternateContent>
        <mc:Choice Requires="wps">
          <w:drawing>
            <wp:anchor distT="0" distB="0" distL="114300" distR="114300" simplePos="0" relativeHeight="251657216" behindDoc="0" locked="1" layoutInCell="1" allowOverlap="1" wp14:anchorId="40043EB0" wp14:editId="7DE5AF9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35043" w14:textId="77777777" w:rsidR="00797FDE" w:rsidRPr="005C6148" w:rsidRDefault="0038719B" w:rsidP="0007095A">
                          <w:pPr>
                            <w:pStyle w:val="Seitenzahlen"/>
                          </w:pPr>
                          <w:r w:rsidRPr="005C6148">
                            <w:fldChar w:fldCharType="begin"/>
                          </w:r>
                          <w:r w:rsidRPr="005C6148">
                            <w:instrText>PAGE   \* MERGEFORMAT</w:instrText>
                          </w:r>
                          <w:r w:rsidRPr="005C6148">
                            <w:fldChar w:fldCharType="separate"/>
                          </w:r>
                          <w:r w:rsidR="000A6BDA" w:rsidRPr="000A6BDA">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6BDA">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0043EB0" id="_x0000_t202" coordsize="21600,21600" o:spt="202" path="m,l,21600r21600,l21600,xe">
              <v:stroke joinstyle="miter"/>
              <v:path gradientshapeok="t" o:connecttype="rect"/>
            </v:shapetype>
            <v:shape id="Textfeld 15" o:spid="_x0000_s1027" type="#_x0000_t202" style="position:absolute;margin-left:-1.6pt;margin-top:0;width:49.6pt;height:44.8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KZg&#10;EF5VAgAAIwUAAA4AAAAAAAAAAAAAAAAALgIAAGRycy9lMm9Eb2MueG1sUEsBAi0AFAAGAAgAAAAh&#10;AMfBU9HUAAAAAwEAAA8AAAAAAAAAAAAAAAAArwQAAGRycy9kb3ducmV2LnhtbFBLBQYAAAAABAAE&#10;APMAAACwBQAAAAA=&#10;" filled="f" stroked="f" strokeweight=".5pt">
              <v:textbox inset="0,0,0,8mm">
                <w:txbxContent>
                  <w:p w14:paraId="10835043" w14:textId="77777777" w:rsidR="00797FDE" w:rsidRPr="005C6148" w:rsidRDefault="0038719B" w:rsidP="0007095A">
                    <w:pPr>
                      <w:pStyle w:val="Seitenzahlen"/>
                    </w:pPr>
                    <w:r w:rsidRPr="005C6148">
                      <w:fldChar w:fldCharType="begin"/>
                    </w:r>
                    <w:r w:rsidRPr="005C6148">
                      <w:instrText>PAGE   \* MERGEFORMAT</w:instrText>
                    </w:r>
                    <w:r w:rsidRPr="005C6148">
                      <w:fldChar w:fldCharType="separate"/>
                    </w:r>
                    <w:r w:rsidR="000A6BDA" w:rsidRPr="000A6BDA">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A6BDA">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B966" w14:textId="77777777" w:rsidR="00814704" w:rsidRDefault="00814704" w:rsidP="00F91D37">
      <w:pPr>
        <w:spacing w:line="240" w:lineRule="auto"/>
      </w:pPr>
    </w:p>
    <w:p w14:paraId="32A12BD6" w14:textId="77777777" w:rsidR="00814704" w:rsidRDefault="00814704" w:rsidP="00F91D37">
      <w:pPr>
        <w:spacing w:line="240" w:lineRule="auto"/>
      </w:pPr>
    </w:p>
  </w:footnote>
  <w:footnote w:type="continuationSeparator" w:id="0">
    <w:p w14:paraId="778668F6" w14:textId="77777777" w:rsidR="00814704" w:rsidRDefault="00814704" w:rsidP="00F91D37">
      <w:pPr>
        <w:spacing w:line="240" w:lineRule="auto"/>
      </w:pPr>
      <w:r>
        <w:continuationSeparator/>
      </w:r>
    </w:p>
  </w:footnote>
  <w:footnote w:id="1">
    <w:p w14:paraId="2F0FBAD9" w14:textId="77777777" w:rsidR="00851AE1" w:rsidRDefault="00851AE1" w:rsidP="00851AE1">
      <w:pPr>
        <w:pStyle w:val="Funotentext"/>
      </w:pPr>
      <w:r>
        <w:rPr>
          <w:rStyle w:val="Funotenzeichen"/>
        </w:rPr>
        <w:footnoteRef/>
      </w:r>
      <w:r>
        <w:t xml:space="preserve"> </w:t>
      </w:r>
      <w:r w:rsidRPr="00924E20">
        <w:t>Zentren, Suburbane Gemeinden, Einkommensstarke Gemeinden, Periurbane Gemeinden, Touristische Gemeinden, Touristische Gemeinden, Industrielle u. tertäre Gemeinden, Ländliche Pendlergemeinden, Agrar-gemischte Gemeinden, Agrarische Gemeinden</w:t>
      </w:r>
    </w:p>
  </w:footnote>
  <w:footnote w:id="2">
    <w:p w14:paraId="25801FE9" w14:textId="77777777" w:rsidR="00851AE1" w:rsidRDefault="00851AE1" w:rsidP="00851AE1">
      <w:pPr>
        <w:pStyle w:val="Funotentext"/>
      </w:pPr>
      <w:r>
        <w:rPr>
          <w:rStyle w:val="Funotenzeichen"/>
        </w:rPr>
        <w:footnoteRef/>
      </w:r>
      <w:r>
        <w:t xml:space="preserve"> </w:t>
      </w:r>
      <w:r w:rsidRPr="00924E20">
        <w:t>Oberland, Mittelland, Emmental, Oberaargau, Biel-Seeland, Berner Jura</w:t>
      </w:r>
    </w:p>
  </w:footnote>
  <w:footnote w:id="3">
    <w:p w14:paraId="32B76910" w14:textId="77777777" w:rsidR="00836EDF" w:rsidRDefault="00836EDF" w:rsidP="00836EDF">
      <w:pPr>
        <w:pStyle w:val="Funotentext"/>
      </w:pPr>
      <w:r>
        <w:rPr>
          <w:rStyle w:val="Funotenzeichen"/>
        </w:rPr>
        <w:footnoteRef/>
      </w:r>
      <w:r>
        <w:t xml:space="preserve"> FILAG-Bericht 2024, S. 53 und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FF3B4D" w14:paraId="2BCEAAF7" w14:textId="77777777" w:rsidTr="00840B34">
      <w:tc>
        <w:tcPr>
          <w:tcW w:w="5100" w:type="dxa"/>
        </w:tcPr>
        <w:p w14:paraId="2431FA3D" w14:textId="5008ECD6" w:rsidR="00FD161A" w:rsidRDefault="00984F56" w:rsidP="00840B34">
          <w:pPr>
            <w:pStyle w:val="Kopfzeile"/>
          </w:pPr>
          <w:r>
            <w:t>Bericht 2024</w:t>
          </w:r>
        </w:p>
        <w:p w14:paraId="2C59A990" w14:textId="47379DA5" w:rsidR="00FD161A" w:rsidRDefault="0038719B" w:rsidP="00840B34">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0D6EF6" w:rsidRPr="000D6EF6">
            <w:rPr>
              <w:b/>
              <w:color w:val="B1B9BD" w:themeColor="background2"/>
              <w:lang w:val="de-DE"/>
            </w:rPr>
            <w:t>Laufende</w:t>
          </w:r>
          <w:r w:rsidR="000D6EF6">
            <w:rPr>
              <w:color w:val="B1B9BD" w:themeColor="background2"/>
            </w:rPr>
            <w:t xml:space="preserve"> Analyse der Wirkungen des Gesetzes über den Finanz- und Lastenausgleich (FILAG)</w:t>
          </w:r>
          <w:r w:rsidRPr="00657051">
            <w:rPr>
              <w:color w:val="B1B9BD" w:themeColor="background2"/>
            </w:rPr>
            <w:fldChar w:fldCharType="end"/>
          </w:r>
        </w:p>
      </w:tc>
      <w:tc>
        <w:tcPr>
          <w:tcW w:w="4878" w:type="dxa"/>
        </w:tcPr>
        <w:p w14:paraId="06CAC405" w14:textId="26DD85D9" w:rsidR="00FD161A" w:rsidRDefault="000D6EF6" w:rsidP="00840B34">
          <w:pPr>
            <w:pStyle w:val="Kopfzeile"/>
          </w:pPr>
          <w:r>
            <w:fldChar w:fldCharType="begin"/>
          </w:r>
          <w:r>
            <w:instrText xml:space="preserve"> STYLEREF  "H1"  \* MERGEFORMAT </w:instrText>
          </w:r>
          <w:r>
            <w:fldChar w:fldCharType="separate"/>
          </w:r>
          <w:r>
            <w:t>Finanzausgleich</w:t>
          </w:r>
          <w:r>
            <w:fldChar w:fldCharType="end"/>
          </w:r>
        </w:p>
      </w:tc>
    </w:tr>
  </w:tbl>
  <w:p w14:paraId="32819395" w14:textId="77777777" w:rsidR="00797FDE" w:rsidRPr="0039616D" w:rsidRDefault="00797FDE"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B7DB" w14:textId="77777777" w:rsidR="00797FDE" w:rsidRDefault="0038719B" w:rsidP="000822A6">
    <w:pPr>
      <w:pStyle w:val="Kopfzeile"/>
      <w:jc w:val="right"/>
    </w:pPr>
    <w:r>
      <w:drawing>
        <wp:anchor distT="0" distB="0" distL="114300" distR="114300" simplePos="0" relativeHeight="251658240" behindDoc="0" locked="1" layoutInCell="1" allowOverlap="1" wp14:anchorId="6F8E22E6" wp14:editId="3ADDB2E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4428"/>
    <w:multiLevelType w:val="hybridMultilevel"/>
    <w:tmpl w:val="E02C932A"/>
    <w:lvl w:ilvl="0" w:tplc="08070001">
      <w:start w:val="1"/>
      <w:numFmt w:val="bullet"/>
      <w:lvlText w:val=""/>
      <w:lvlJc w:val="left"/>
      <w:pPr>
        <w:ind w:left="705" w:hanging="70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E07801"/>
    <w:multiLevelType w:val="hybridMultilevel"/>
    <w:tmpl w:val="0268C6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3621B3"/>
    <w:multiLevelType w:val="hybridMultilevel"/>
    <w:tmpl w:val="B0449C2E"/>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C264F1"/>
    <w:multiLevelType w:val="hybridMultilevel"/>
    <w:tmpl w:val="4F8AD58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EC81D59"/>
    <w:multiLevelType w:val="hybridMultilevel"/>
    <w:tmpl w:val="329036E2"/>
    <w:lvl w:ilvl="0" w:tplc="FE7C6612">
      <w:numFmt w:val="bullet"/>
      <w:lvlText w:val="•"/>
      <w:lvlJc w:val="left"/>
      <w:pPr>
        <w:ind w:left="1425" w:hanging="705"/>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B1F75C9"/>
    <w:multiLevelType w:val="hybridMultilevel"/>
    <w:tmpl w:val="BDDA0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988804AC">
      <w:start w:val="1"/>
      <w:numFmt w:val="decimal"/>
      <w:lvlText w:val="%1."/>
      <w:lvlJc w:val="left"/>
      <w:pPr>
        <w:ind w:left="720" w:hanging="360"/>
      </w:pPr>
    </w:lvl>
    <w:lvl w:ilvl="1" w:tplc="BA94599C" w:tentative="1">
      <w:start w:val="1"/>
      <w:numFmt w:val="lowerLetter"/>
      <w:lvlText w:val="%2."/>
      <w:lvlJc w:val="left"/>
      <w:pPr>
        <w:ind w:left="1440" w:hanging="360"/>
      </w:pPr>
    </w:lvl>
    <w:lvl w:ilvl="2" w:tplc="2C66C550" w:tentative="1">
      <w:start w:val="1"/>
      <w:numFmt w:val="lowerRoman"/>
      <w:lvlText w:val="%3."/>
      <w:lvlJc w:val="right"/>
      <w:pPr>
        <w:ind w:left="2160" w:hanging="180"/>
      </w:pPr>
    </w:lvl>
    <w:lvl w:ilvl="3" w:tplc="24EE2776" w:tentative="1">
      <w:start w:val="1"/>
      <w:numFmt w:val="decimal"/>
      <w:lvlText w:val="%4."/>
      <w:lvlJc w:val="left"/>
      <w:pPr>
        <w:ind w:left="2880" w:hanging="360"/>
      </w:pPr>
    </w:lvl>
    <w:lvl w:ilvl="4" w:tplc="4C908DF0" w:tentative="1">
      <w:start w:val="1"/>
      <w:numFmt w:val="lowerLetter"/>
      <w:lvlText w:val="%5."/>
      <w:lvlJc w:val="left"/>
      <w:pPr>
        <w:ind w:left="3600" w:hanging="360"/>
      </w:pPr>
    </w:lvl>
    <w:lvl w:ilvl="5" w:tplc="BED0E902" w:tentative="1">
      <w:start w:val="1"/>
      <w:numFmt w:val="lowerRoman"/>
      <w:lvlText w:val="%6."/>
      <w:lvlJc w:val="right"/>
      <w:pPr>
        <w:ind w:left="4320" w:hanging="180"/>
      </w:pPr>
    </w:lvl>
    <w:lvl w:ilvl="6" w:tplc="9714691A" w:tentative="1">
      <w:start w:val="1"/>
      <w:numFmt w:val="decimal"/>
      <w:lvlText w:val="%7."/>
      <w:lvlJc w:val="left"/>
      <w:pPr>
        <w:ind w:left="5040" w:hanging="360"/>
      </w:pPr>
    </w:lvl>
    <w:lvl w:ilvl="7" w:tplc="9C1EA9BA" w:tentative="1">
      <w:start w:val="1"/>
      <w:numFmt w:val="lowerLetter"/>
      <w:lvlText w:val="%8."/>
      <w:lvlJc w:val="left"/>
      <w:pPr>
        <w:ind w:left="5760" w:hanging="360"/>
      </w:pPr>
    </w:lvl>
    <w:lvl w:ilvl="8" w:tplc="EAB8552C"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02E0B676">
      <w:start w:val="1"/>
      <w:numFmt w:val="bullet"/>
      <w:lvlText w:val=""/>
      <w:lvlJc w:val="left"/>
      <w:pPr>
        <w:ind w:left="720" w:hanging="360"/>
      </w:pPr>
      <w:rPr>
        <w:rFonts w:ascii="Symbol" w:hAnsi="Symbol" w:hint="default"/>
      </w:rPr>
    </w:lvl>
    <w:lvl w:ilvl="1" w:tplc="63704B84">
      <w:start w:val="1"/>
      <w:numFmt w:val="bullet"/>
      <w:lvlText w:val="o"/>
      <w:lvlJc w:val="left"/>
      <w:pPr>
        <w:ind w:left="1440" w:hanging="360"/>
      </w:pPr>
      <w:rPr>
        <w:rFonts w:ascii="Courier New" w:hAnsi="Courier New" w:cs="Courier New" w:hint="default"/>
      </w:rPr>
    </w:lvl>
    <w:lvl w:ilvl="2" w:tplc="6E1237E8" w:tentative="1">
      <w:start w:val="1"/>
      <w:numFmt w:val="bullet"/>
      <w:lvlText w:val=""/>
      <w:lvlJc w:val="left"/>
      <w:pPr>
        <w:ind w:left="2160" w:hanging="360"/>
      </w:pPr>
      <w:rPr>
        <w:rFonts w:ascii="Wingdings" w:hAnsi="Wingdings" w:hint="default"/>
      </w:rPr>
    </w:lvl>
    <w:lvl w:ilvl="3" w:tplc="0F186CEE" w:tentative="1">
      <w:start w:val="1"/>
      <w:numFmt w:val="bullet"/>
      <w:lvlText w:val=""/>
      <w:lvlJc w:val="left"/>
      <w:pPr>
        <w:ind w:left="2880" w:hanging="360"/>
      </w:pPr>
      <w:rPr>
        <w:rFonts w:ascii="Symbol" w:hAnsi="Symbol" w:hint="default"/>
      </w:rPr>
    </w:lvl>
    <w:lvl w:ilvl="4" w:tplc="5770D308" w:tentative="1">
      <w:start w:val="1"/>
      <w:numFmt w:val="bullet"/>
      <w:lvlText w:val="o"/>
      <w:lvlJc w:val="left"/>
      <w:pPr>
        <w:ind w:left="3600" w:hanging="360"/>
      </w:pPr>
      <w:rPr>
        <w:rFonts w:ascii="Courier New" w:hAnsi="Courier New" w:cs="Courier New" w:hint="default"/>
      </w:rPr>
    </w:lvl>
    <w:lvl w:ilvl="5" w:tplc="7786DF44" w:tentative="1">
      <w:start w:val="1"/>
      <w:numFmt w:val="bullet"/>
      <w:lvlText w:val=""/>
      <w:lvlJc w:val="left"/>
      <w:pPr>
        <w:ind w:left="4320" w:hanging="360"/>
      </w:pPr>
      <w:rPr>
        <w:rFonts w:ascii="Wingdings" w:hAnsi="Wingdings" w:hint="default"/>
      </w:rPr>
    </w:lvl>
    <w:lvl w:ilvl="6" w:tplc="B958FCBC" w:tentative="1">
      <w:start w:val="1"/>
      <w:numFmt w:val="bullet"/>
      <w:lvlText w:val=""/>
      <w:lvlJc w:val="left"/>
      <w:pPr>
        <w:ind w:left="5040" w:hanging="360"/>
      </w:pPr>
      <w:rPr>
        <w:rFonts w:ascii="Symbol" w:hAnsi="Symbol" w:hint="default"/>
      </w:rPr>
    </w:lvl>
    <w:lvl w:ilvl="7" w:tplc="6F847A8A" w:tentative="1">
      <w:start w:val="1"/>
      <w:numFmt w:val="bullet"/>
      <w:lvlText w:val="o"/>
      <w:lvlJc w:val="left"/>
      <w:pPr>
        <w:ind w:left="5760" w:hanging="360"/>
      </w:pPr>
      <w:rPr>
        <w:rFonts w:ascii="Courier New" w:hAnsi="Courier New" w:cs="Courier New" w:hint="default"/>
      </w:rPr>
    </w:lvl>
    <w:lvl w:ilvl="8" w:tplc="9878D2A0"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2" w15:restartNumberingAfterBreak="0">
    <w:nsid w:val="53F93D0B"/>
    <w:multiLevelType w:val="hybridMultilevel"/>
    <w:tmpl w:val="BDDA039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D988BFB4">
      <w:start w:val="1"/>
      <w:numFmt w:val="bullet"/>
      <w:lvlText w:val=""/>
      <w:lvlJc w:val="left"/>
      <w:pPr>
        <w:ind w:left="720" w:hanging="360"/>
      </w:pPr>
      <w:rPr>
        <w:rFonts w:ascii="Symbol" w:hAnsi="Symbol" w:hint="default"/>
      </w:rPr>
    </w:lvl>
    <w:lvl w:ilvl="1" w:tplc="FD80C6F2" w:tentative="1">
      <w:start w:val="1"/>
      <w:numFmt w:val="bullet"/>
      <w:lvlText w:val="o"/>
      <w:lvlJc w:val="left"/>
      <w:pPr>
        <w:ind w:left="1440" w:hanging="360"/>
      </w:pPr>
      <w:rPr>
        <w:rFonts w:ascii="Courier New" w:hAnsi="Courier New" w:cs="Courier New" w:hint="default"/>
      </w:rPr>
    </w:lvl>
    <w:lvl w:ilvl="2" w:tplc="AEFEEE18" w:tentative="1">
      <w:start w:val="1"/>
      <w:numFmt w:val="bullet"/>
      <w:lvlText w:val=""/>
      <w:lvlJc w:val="left"/>
      <w:pPr>
        <w:ind w:left="2160" w:hanging="360"/>
      </w:pPr>
      <w:rPr>
        <w:rFonts w:ascii="Wingdings" w:hAnsi="Wingdings" w:hint="default"/>
      </w:rPr>
    </w:lvl>
    <w:lvl w:ilvl="3" w:tplc="D598A2D8" w:tentative="1">
      <w:start w:val="1"/>
      <w:numFmt w:val="bullet"/>
      <w:lvlText w:val=""/>
      <w:lvlJc w:val="left"/>
      <w:pPr>
        <w:ind w:left="2880" w:hanging="360"/>
      </w:pPr>
      <w:rPr>
        <w:rFonts w:ascii="Symbol" w:hAnsi="Symbol" w:hint="default"/>
      </w:rPr>
    </w:lvl>
    <w:lvl w:ilvl="4" w:tplc="B3CC23AA" w:tentative="1">
      <w:start w:val="1"/>
      <w:numFmt w:val="bullet"/>
      <w:lvlText w:val="o"/>
      <w:lvlJc w:val="left"/>
      <w:pPr>
        <w:ind w:left="3600" w:hanging="360"/>
      </w:pPr>
      <w:rPr>
        <w:rFonts w:ascii="Courier New" w:hAnsi="Courier New" w:cs="Courier New" w:hint="default"/>
      </w:rPr>
    </w:lvl>
    <w:lvl w:ilvl="5" w:tplc="AD529D6C" w:tentative="1">
      <w:start w:val="1"/>
      <w:numFmt w:val="bullet"/>
      <w:lvlText w:val=""/>
      <w:lvlJc w:val="left"/>
      <w:pPr>
        <w:ind w:left="4320" w:hanging="360"/>
      </w:pPr>
      <w:rPr>
        <w:rFonts w:ascii="Wingdings" w:hAnsi="Wingdings" w:hint="default"/>
      </w:rPr>
    </w:lvl>
    <w:lvl w:ilvl="6" w:tplc="D38C4D58" w:tentative="1">
      <w:start w:val="1"/>
      <w:numFmt w:val="bullet"/>
      <w:lvlText w:val=""/>
      <w:lvlJc w:val="left"/>
      <w:pPr>
        <w:ind w:left="5040" w:hanging="360"/>
      </w:pPr>
      <w:rPr>
        <w:rFonts w:ascii="Symbol" w:hAnsi="Symbol" w:hint="default"/>
      </w:rPr>
    </w:lvl>
    <w:lvl w:ilvl="7" w:tplc="81D09518" w:tentative="1">
      <w:start w:val="1"/>
      <w:numFmt w:val="bullet"/>
      <w:lvlText w:val="o"/>
      <w:lvlJc w:val="left"/>
      <w:pPr>
        <w:ind w:left="5760" w:hanging="360"/>
      </w:pPr>
      <w:rPr>
        <w:rFonts w:ascii="Courier New" w:hAnsi="Courier New" w:cs="Courier New" w:hint="default"/>
      </w:rPr>
    </w:lvl>
    <w:lvl w:ilvl="8" w:tplc="2304CB98"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63565A56">
      <w:start w:val="1"/>
      <w:numFmt w:val="bullet"/>
      <w:lvlText w:val=""/>
      <w:lvlJc w:val="left"/>
      <w:pPr>
        <w:ind w:left="720" w:hanging="360"/>
      </w:pPr>
      <w:rPr>
        <w:rFonts w:ascii="Symbol" w:hAnsi="Symbol" w:hint="default"/>
      </w:rPr>
    </w:lvl>
    <w:lvl w:ilvl="1" w:tplc="2E027B50" w:tentative="1">
      <w:start w:val="1"/>
      <w:numFmt w:val="bullet"/>
      <w:lvlText w:val="o"/>
      <w:lvlJc w:val="left"/>
      <w:pPr>
        <w:ind w:left="1440" w:hanging="360"/>
      </w:pPr>
      <w:rPr>
        <w:rFonts w:ascii="Courier New" w:hAnsi="Courier New" w:cs="Courier New" w:hint="default"/>
      </w:rPr>
    </w:lvl>
    <w:lvl w:ilvl="2" w:tplc="3098A71C" w:tentative="1">
      <w:start w:val="1"/>
      <w:numFmt w:val="bullet"/>
      <w:lvlText w:val=""/>
      <w:lvlJc w:val="left"/>
      <w:pPr>
        <w:ind w:left="2160" w:hanging="360"/>
      </w:pPr>
      <w:rPr>
        <w:rFonts w:ascii="Wingdings" w:hAnsi="Wingdings" w:hint="default"/>
      </w:rPr>
    </w:lvl>
    <w:lvl w:ilvl="3" w:tplc="76AE78F4" w:tentative="1">
      <w:start w:val="1"/>
      <w:numFmt w:val="bullet"/>
      <w:lvlText w:val=""/>
      <w:lvlJc w:val="left"/>
      <w:pPr>
        <w:ind w:left="2880" w:hanging="360"/>
      </w:pPr>
      <w:rPr>
        <w:rFonts w:ascii="Symbol" w:hAnsi="Symbol" w:hint="default"/>
      </w:rPr>
    </w:lvl>
    <w:lvl w:ilvl="4" w:tplc="BBB49138" w:tentative="1">
      <w:start w:val="1"/>
      <w:numFmt w:val="bullet"/>
      <w:lvlText w:val="o"/>
      <w:lvlJc w:val="left"/>
      <w:pPr>
        <w:ind w:left="3600" w:hanging="360"/>
      </w:pPr>
      <w:rPr>
        <w:rFonts w:ascii="Courier New" w:hAnsi="Courier New" w:cs="Courier New" w:hint="default"/>
      </w:rPr>
    </w:lvl>
    <w:lvl w:ilvl="5" w:tplc="A0B82196" w:tentative="1">
      <w:start w:val="1"/>
      <w:numFmt w:val="bullet"/>
      <w:lvlText w:val=""/>
      <w:lvlJc w:val="left"/>
      <w:pPr>
        <w:ind w:left="4320" w:hanging="360"/>
      </w:pPr>
      <w:rPr>
        <w:rFonts w:ascii="Wingdings" w:hAnsi="Wingdings" w:hint="default"/>
      </w:rPr>
    </w:lvl>
    <w:lvl w:ilvl="6" w:tplc="F1E0D9A0" w:tentative="1">
      <w:start w:val="1"/>
      <w:numFmt w:val="bullet"/>
      <w:lvlText w:val=""/>
      <w:lvlJc w:val="left"/>
      <w:pPr>
        <w:ind w:left="5040" w:hanging="360"/>
      </w:pPr>
      <w:rPr>
        <w:rFonts w:ascii="Symbol" w:hAnsi="Symbol" w:hint="default"/>
      </w:rPr>
    </w:lvl>
    <w:lvl w:ilvl="7" w:tplc="85385C3E" w:tentative="1">
      <w:start w:val="1"/>
      <w:numFmt w:val="bullet"/>
      <w:lvlText w:val="o"/>
      <w:lvlJc w:val="left"/>
      <w:pPr>
        <w:ind w:left="5760" w:hanging="360"/>
      </w:pPr>
      <w:rPr>
        <w:rFonts w:ascii="Courier New" w:hAnsi="Courier New" w:cs="Courier New" w:hint="default"/>
      </w:rPr>
    </w:lvl>
    <w:lvl w:ilvl="8" w:tplc="409607E4" w:tentative="1">
      <w:start w:val="1"/>
      <w:numFmt w:val="bullet"/>
      <w:lvlText w:val=""/>
      <w:lvlJc w:val="left"/>
      <w:pPr>
        <w:ind w:left="6480" w:hanging="360"/>
      </w:pPr>
      <w:rPr>
        <w:rFonts w:ascii="Wingdings" w:hAnsi="Wingdings" w:hint="default"/>
      </w:rPr>
    </w:lvl>
  </w:abstractNum>
  <w:abstractNum w:abstractNumId="29" w15:restartNumberingAfterBreak="0">
    <w:nsid w:val="6E22699B"/>
    <w:multiLevelType w:val="hybridMultilevel"/>
    <w:tmpl w:val="3202ECCA"/>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71827FF"/>
    <w:multiLevelType w:val="hybridMultilevel"/>
    <w:tmpl w:val="244CEC52"/>
    <w:lvl w:ilvl="0" w:tplc="FE7C66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C30691"/>
    <w:multiLevelType w:val="hybridMultilevel"/>
    <w:tmpl w:val="4E3262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D325A5"/>
    <w:multiLevelType w:val="hybridMultilevel"/>
    <w:tmpl w:val="5C6AB65C"/>
    <w:lvl w:ilvl="0" w:tplc="D408DD30">
      <w:start w:val="1"/>
      <w:numFmt w:val="decimal"/>
      <w:lvlText w:val="%1."/>
      <w:lvlJc w:val="left"/>
      <w:pPr>
        <w:ind w:left="720" w:hanging="360"/>
      </w:pPr>
      <w:rPr>
        <w:rFonts w:hint="default"/>
      </w:rPr>
    </w:lvl>
    <w:lvl w:ilvl="1" w:tplc="029A1364" w:tentative="1">
      <w:start w:val="1"/>
      <w:numFmt w:val="lowerLetter"/>
      <w:lvlText w:val="%2."/>
      <w:lvlJc w:val="left"/>
      <w:pPr>
        <w:ind w:left="1440" w:hanging="360"/>
      </w:pPr>
    </w:lvl>
    <w:lvl w:ilvl="2" w:tplc="69181790" w:tentative="1">
      <w:start w:val="1"/>
      <w:numFmt w:val="lowerRoman"/>
      <w:lvlText w:val="%3."/>
      <w:lvlJc w:val="right"/>
      <w:pPr>
        <w:ind w:left="2160" w:hanging="180"/>
      </w:pPr>
    </w:lvl>
    <w:lvl w:ilvl="3" w:tplc="7278E96E" w:tentative="1">
      <w:start w:val="1"/>
      <w:numFmt w:val="decimal"/>
      <w:lvlText w:val="%4."/>
      <w:lvlJc w:val="left"/>
      <w:pPr>
        <w:ind w:left="2880" w:hanging="360"/>
      </w:pPr>
    </w:lvl>
    <w:lvl w:ilvl="4" w:tplc="BB8A4736" w:tentative="1">
      <w:start w:val="1"/>
      <w:numFmt w:val="lowerLetter"/>
      <w:lvlText w:val="%5."/>
      <w:lvlJc w:val="left"/>
      <w:pPr>
        <w:ind w:left="3600" w:hanging="360"/>
      </w:pPr>
    </w:lvl>
    <w:lvl w:ilvl="5" w:tplc="47086772" w:tentative="1">
      <w:start w:val="1"/>
      <w:numFmt w:val="lowerRoman"/>
      <w:lvlText w:val="%6."/>
      <w:lvlJc w:val="right"/>
      <w:pPr>
        <w:ind w:left="4320" w:hanging="180"/>
      </w:pPr>
    </w:lvl>
    <w:lvl w:ilvl="6" w:tplc="FA0E8BD8" w:tentative="1">
      <w:start w:val="1"/>
      <w:numFmt w:val="decimal"/>
      <w:lvlText w:val="%7."/>
      <w:lvlJc w:val="left"/>
      <w:pPr>
        <w:ind w:left="5040" w:hanging="360"/>
      </w:pPr>
    </w:lvl>
    <w:lvl w:ilvl="7" w:tplc="55785356" w:tentative="1">
      <w:start w:val="1"/>
      <w:numFmt w:val="lowerLetter"/>
      <w:lvlText w:val="%8."/>
      <w:lvlJc w:val="left"/>
      <w:pPr>
        <w:ind w:left="5760" w:hanging="360"/>
      </w:pPr>
    </w:lvl>
    <w:lvl w:ilvl="8" w:tplc="847AD7AC" w:tentative="1">
      <w:start w:val="1"/>
      <w:numFmt w:val="lowerRoman"/>
      <w:lvlText w:val="%9."/>
      <w:lvlJc w:val="right"/>
      <w:pPr>
        <w:ind w:left="6480" w:hanging="180"/>
      </w:pPr>
    </w:lvl>
  </w:abstractNum>
  <w:num w:numId="1" w16cid:durableId="430665560">
    <w:abstractNumId w:val="9"/>
  </w:num>
  <w:num w:numId="2" w16cid:durableId="668170270">
    <w:abstractNumId w:val="7"/>
  </w:num>
  <w:num w:numId="3" w16cid:durableId="1454251254">
    <w:abstractNumId w:val="6"/>
  </w:num>
  <w:num w:numId="4" w16cid:durableId="1599752721">
    <w:abstractNumId w:val="5"/>
  </w:num>
  <w:num w:numId="5" w16cid:durableId="180976946">
    <w:abstractNumId w:val="4"/>
  </w:num>
  <w:num w:numId="6" w16cid:durableId="599946846">
    <w:abstractNumId w:val="8"/>
  </w:num>
  <w:num w:numId="7" w16cid:durableId="1563524134">
    <w:abstractNumId w:val="3"/>
  </w:num>
  <w:num w:numId="8" w16cid:durableId="1404257456">
    <w:abstractNumId w:val="2"/>
  </w:num>
  <w:num w:numId="9" w16cid:durableId="577515716">
    <w:abstractNumId w:val="1"/>
  </w:num>
  <w:num w:numId="10" w16cid:durableId="1592394845">
    <w:abstractNumId w:val="0"/>
  </w:num>
  <w:num w:numId="11" w16cid:durableId="1357460954">
    <w:abstractNumId w:val="28"/>
  </w:num>
  <w:num w:numId="12" w16cid:durableId="903368576">
    <w:abstractNumId w:val="23"/>
  </w:num>
  <w:num w:numId="13" w16cid:durableId="1414088194">
    <w:abstractNumId w:val="19"/>
  </w:num>
  <w:num w:numId="14" w16cid:durableId="1805153864">
    <w:abstractNumId w:val="33"/>
  </w:num>
  <w:num w:numId="15" w16cid:durableId="646664496">
    <w:abstractNumId w:val="30"/>
  </w:num>
  <w:num w:numId="16" w16cid:durableId="1620069520">
    <w:abstractNumId w:val="15"/>
  </w:num>
  <w:num w:numId="17" w16cid:durableId="201408619">
    <w:abstractNumId w:val="20"/>
  </w:num>
  <w:num w:numId="18" w16cid:durableId="1006513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914525">
    <w:abstractNumId w:val="27"/>
  </w:num>
  <w:num w:numId="20" w16cid:durableId="1933541359">
    <w:abstractNumId w:val="18"/>
  </w:num>
  <w:num w:numId="21" w16cid:durableId="1803377945">
    <w:abstractNumId w:val="25"/>
  </w:num>
  <w:num w:numId="22" w16cid:durableId="937323525">
    <w:abstractNumId w:val="24"/>
  </w:num>
  <w:num w:numId="23" w16cid:durableId="1761759402">
    <w:abstractNumId w:val="16"/>
  </w:num>
  <w:num w:numId="24" w16cid:durableId="474686758">
    <w:abstractNumId w:val="21"/>
  </w:num>
  <w:num w:numId="25" w16cid:durableId="1484200339">
    <w:abstractNumId w:val="26"/>
  </w:num>
  <w:num w:numId="26" w16cid:durableId="1963804803">
    <w:abstractNumId w:val="32"/>
  </w:num>
  <w:num w:numId="27" w16cid:durableId="180168892">
    <w:abstractNumId w:val="29"/>
  </w:num>
  <w:num w:numId="28" w16cid:durableId="2057194267">
    <w:abstractNumId w:val="14"/>
  </w:num>
  <w:num w:numId="29" w16cid:durableId="118843625">
    <w:abstractNumId w:val="10"/>
  </w:num>
  <w:num w:numId="30" w16cid:durableId="1649897532">
    <w:abstractNumId w:val="23"/>
  </w:num>
  <w:num w:numId="31" w16cid:durableId="913394109">
    <w:abstractNumId w:val="11"/>
  </w:num>
  <w:num w:numId="32" w16cid:durableId="133760789">
    <w:abstractNumId w:val="12"/>
  </w:num>
  <w:num w:numId="33" w16cid:durableId="1609577825">
    <w:abstractNumId w:val="23"/>
  </w:num>
  <w:num w:numId="34" w16cid:durableId="1353411173">
    <w:abstractNumId w:val="31"/>
  </w:num>
  <w:num w:numId="35" w16cid:durableId="1414401279">
    <w:abstractNumId w:val="23"/>
  </w:num>
  <w:num w:numId="36" w16cid:durableId="728378531">
    <w:abstractNumId w:val="23"/>
  </w:num>
  <w:num w:numId="37" w16cid:durableId="926613903">
    <w:abstractNumId w:val="23"/>
  </w:num>
  <w:num w:numId="38" w16cid:durableId="1166282165">
    <w:abstractNumId w:val="23"/>
  </w:num>
  <w:num w:numId="39" w16cid:durableId="79841153">
    <w:abstractNumId w:val="22"/>
  </w:num>
  <w:num w:numId="40" w16cid:durableId="13926308">
    <w:abstractNumId w:val="17"/>
  </w:num>
  <w:num w:numId="41" w16cid:durableId="435488162">
    <w:abstractNumId w:val="13"/>
  </w:num>
  <w:num w:numId="42" w16cid:durableId="82653806">
    <w:abstractNumId w:val="23"/>
  </w:num>
  <w:num w:numId="43" w16cid:durableId="4127762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FINFV"/>
  </w:docVars>
  <w:rsids>
    <w:rsidRoot w:val="00A1779E"/>
    <w:rsid w:val="00000432"/>
    <w:rsid w:val="00002978"/>
    <w:rsid w:val="0001010F"/>
    <w:rsid w:val="000116E1"/>
    <w:rsid w:val="000118C1"/>
    <w:rsid w:val="00015D48"/>
    <w:rsid w:val="0002147A"/>
    <w:rsid w:val="00022547"/>
    <w:rsid w:val="000258FF"/>
    <w:rsid w:val="000266B7"/>
    <w:rsid w:val="0002739A"/>
    <w:rsid w:val="00032B92"/>
    <w:rsid w:val="00036B8D"/>
    <w:rsid w:val="000409C8"/>
    <w:rsid w:val="00041700"/>
    <w:rsid w:val="0004410F"/>
    <w:rsid w:val="00045DA0"/>
    <w:rsid w:val="00046920"/>
    <w:rsid w:val="0004775B"/>
    <w:rsid w:val="00053EE5"/>
    <w:rsid w:val="00054BDC"/>
    <w:rsid w:val="000610F6"/>
    <w:rsid w:val="00061F5D"/>
    <w:rsid w:val="00063BC2"/>
    <w:rsid w:val="000701F1"/>
    <w:rsid w:val="0007095A"/>
    <w:rsid w:val="00071780"/>
    <w:rsid w:val="000822A6"/>
    <w:rsid w:val="000823C7"/>
    <w:rsid w:val="00084759"/>
    <w:rsid w:val="00091348"/>
    <w:rsid w:val="00095CB1"/>
    <w:rsid w:val="0009664E"/>
    <w:rsid w:val="00096E8E"/>
    <w:rsid w:val="00097476"/>
    <w:rsid w:val="000A1884"/>
    <w:rsid w:val="000A42E5"/>
    <w:rsid w:val="000A6BDA"/>
    <w:rsid w:val="000B0159"/>
    <w:rsid w:val="000B595D"/>
    <w:rsid w:val="000B5F99"/>
    <w:rsid w:val="000B64EC"/>
    <w:rsid w:val="000C49C1"/>
    <w:rsid w:val="000C5AA0"/>
    <w:rsid w:val="000D06EA"/>
    <w:rsid w:val="000D0A57"/>
    <w:rsid w:val="000D1743"/>
    <w:rsid w:val="000D6EF6"/>
    <w:rsid w:val="000D7F08"/>
    <w:rsid w:val="000E0CEF"/>
    <w:rsid w:val="000E174A"/>
    <w:rsid w:val="000E40A9"/>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16E6E"/>
    <w:rsid w:val="0012151C"/>
    <w:rsid w:val="0012168B"/>
    <w:rsid w:val="0012383B"/>
    <w:rsid w:val="00124B68"/>
    <w:rsid w:val="00124F23"/>
    <w:rsid w:val="00127132"/>
    <w:rsid w:val="001273A1"/>
    <w:rsid w:val="00127A77"/>
    <w:rsid w:val="00130557"/>
    <w:rsid w:val="001307C8"/>
    <w:rsid w:val="00132158"/>
    <w:rsid w:val="00134353"/>
    <w:rsid w:val="001375AB"/>
    <w:rsid w:val="001379FA"/>
    <w:rsid w:val="00140075"/>
    <w:rsid w:val="00140272"/>
    <w:rsid w:val="001407C6"/>
    <w:rsid w:val="00140B5B"/>
    <w:rsid w:val="00144122"/>
    <w:rsid w:val="00144695"/>
    <w:rsid w:val="001471AF"/>
    <w:rsid w:val="00154677"/>
    <w:rsid w:val="0016119E"/>
    <w:rsid w:val="001617BB"/>
    <w:rsid w:val="00166023"/>
    <w:rsid w:val="00167916"/>
    <w:rsid w:val="001702F5"/>
    <w:rsid w:val="0017672D"/>
    <w:rsid w:val="00190A82"/>
    <w:rsid w:val="001944E1"/>
    <w:rsid w:val="00196ABC"/>
    <w:rsid w:val="00196B03"/>
    <w:rsid w:val="00196C0B"/>
    <w:rsid w:val="001A0029"/>
    <w:rsid w:val="001A3D0C"/>
    <w:rsid w:val="001A666F"/>
    <w:rsid w:val="001A7D8B"/>
    <w:rsid w:val="001B166D"/>
    <w:rsid w:val="001B1F85"/>
    <w:rsid w:val="001B4DBF"/>
    <w:rsid w:val="001B5E85"/>
    <w:rsid w:val="001C420D"/>
    <w:rsid w:val="001C4D4E"/>
    <w:rsid w:val="001E02A1"/>
    <w:rsid w:val="001E0DF4"/>
    <w:rsid w:val="001E2720"/>
    <w:rsid w:val="001E3FF4"/>
    <w:rsid w:val="001F2AA2"/>
    <w:rsid w:val="001F353B"/>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478B1"/>
    <w:rsid w:val="0025548E"/>
    <w:rsid w:val="0025644A"/>
    <w:rsid w:val="00256F04"/>
    <w:rsid w:val="00256F55"/>
    <w:rsid w:val="00265FDB"/>
    <w:rsid w:val="00266772"/>
    <w:rsid w:val="00267F71"/>
    <w:rsid w:val="002712AE"/>
    <w:rsid w:val="002770BA"/>
    <w:rsid w:val="00290E37"/>
    <w:rsid w:val="0029375B"/>
    <w:rsid w:val="002945F1"/>
    <w:rsid w:val="00295DEC"/>
    <w:rsid w:val="002A3098"/>
    <w:rsid w:val="002A74A7"/>
    <w:rsid w:val="002C2DC3"/>
    <w:rsid w:val="002C4AA4"/>
    <w:rsid w:val="002C6EF1"/>
    <w:rsid w:val="002D25EA"/>
    <w:rsid w:val="002D272F"/>
    <w:rsid w:val="002D3461"/>
    <w:rsid w:val="002D3712"/>
    <w:rsid w:val="002D38AE"/>
    <w:rsid w:val="002D3CF3"/>
    <w:rsid w:val="002E3249"/>
    <w:rsid w:val="002E4096"/>
    <w:rsid w:val="002E541B"/>
    <w:rsid w:val="002E6AF5"/>
    <w:rsid w:val="002E7CBA"/>
    <w:rsid w:val="002F06AA"/>
    <w:rsid w:val="002F13B8"/>
    <w:rsid w:val="002F534D"/>
    <w:rsid w:val="002F68A2"/>
    <w:rsid w:val="002F7482"/>
    <w:rsid w:val="0030245A"/>
    <w:rsid w:val="00305154"/>
    <w:rsid w:val="00305225"/>
    <w:rsid w:val="003062AD"/>
    <w:rsid w:val="00307F40"/>
    <w:rsid w:val="0031139B"/>
    <w:rsid w:val="003127DA"/>
    <w:rsid w:val="00316B83"/>
    <w:rsid w:val="00320451"/>
    <w:rsid w:val="003210FB"/>
    <w:rsid w:val="0032330D"/>
    <w:rsid w:val="00325AC5"/>
    <w:rsid w:val="0033021B"/>
    <w:rsid w:val="00333A1B"/>
    <w:rsid w:val="00335339"/>
    <w:rsid w:val="00335941"/>
    <w:rsid w:val="003359D8"/>
    <w:rsid w:val="00336989"/>
    <w:rsid w:val="00336A76"/>
    <w:rsid w:val="00337BD2"/>
    <w:rsid w:val="003400DC"/>
    <w:rsid w:val="0034154C"/>
    <w:rsid w:val="003514EE"/>
    <w:rsid w:val="00351B75"/>
    <w:rsid w:val="00363671"/>
    <w:rsid w:val="00364EE3"/>
    <w:rsid w:val="0036600E"/>
    <w:rsid w:val="00367A93"/>
    <w:rsid w:val="003722B9"/>
    <w:rsid w:val="003757E4"/>
    <w:rsid w:val="00375834"/>
    <w:rsid w:val="00375D0E"/>
    <w:rsid w:val="003771E2"/>
    <w:rsid w:val="00380D67"/>
    <w:rsid w:val="0038719B"/>
    <w:rsid w:val="0039090B"/>
    <w:rsid w:val="00396082"/>
    <w:rsid w:val="0039616D"/>
    <w:rsid w:val="00396A4E"/>
    <w:rsid w:val="003A396E"/>
    <w:rsid w:val="003A7A0D"/>
    <w:rsid w:val="003B02F8"/>
    <w:rsid w:val="003B2CBD"/>
    <w:rsid w:val="003B4BF5"/>
    <w:rsid w:val="003B5F60"/>
    <w:rsid w:val="003D0FAA"/>
    <w:rsid w:val="003D1066"/>
    <w:rsid w:val="003D4FCF"/>
    <w:rsid w:val="003E0D7F"/>
    <w:rsid w:val="003F1A56"/>
    <w:rsid w:val="003F35B6"/>
    <w:rsid w:val="003F70F2"/>
    <w:rsid w:val="003F711B"/>
    <w:rsid w:val="004007B2"/>
    <w:rsid w:val="0040593D"/>
    <w:rsid w:val="00406B6D"/>
    <w:rsid w:val="00410AF1"/>
    <w:rsid w:val="004165DE"/>
    <w:rsid w:val="004212A5"/>
    <w:rsid w:val="00421DB9"/>
    <w:rsid w:val="00427E73"/>
    <w:rsid w:val="004378C7"/>
    <w:rsid w:val="0044096D"/>
    <w:rsid w:val="00444127"/>
    <w:rsid w:val="004519B6"/>
    <w:rsid w:val="00452D49"/>
    <w:rsid w:val="00452E96"/>
    <w:rsid w:val="004607F4"/>
    <w:rsid w:val="00466CA6"/>
    <w:rsid w:val="00470BD2"/>
    <w:rsid w:val="004714DD"/>
    <w:rsid w:val="00481775"/>
    <w:rsid w:val="00482FCC"/>
    <w:rsid w:val="004838EB"/>
    <w:rsid w:val="00484FC6"/>
    <w:rsid w:val="00486DBB"/>
    <w:rsid w:val="00491992"/>
    <w:rsid w:val="0049364E"/>
    <w:rsid w:val="00494146"/>
    <w:rsid w:val="00494FD7"/>
    <w:rsid w:val="0049577D"/>
    <w:rsid w:val="004A039B"/>
    <w:rsid w:val="004A0479"/>
    <w:rsid w:val="004A41E9"/>
    <w:rsid w:val="004A60C5"/>
    <w:rsid w:val="004B0FDB"/>
    <w:rsid w:val="004B1284"/>
    <w:rsid w:val="004B5A6F"/>
    <w:rsid w:val="004B6A97"/>
    <w:rsid w:val="004C1329"/>
    <w:rsid w:val="004C3880"/>
    <w:rsid w:val="004C442B"/>
    <w:rsid w:val="004C575A"/>
    <w:rsid w:val="004D0DAA"/>
    <w:rsid w:val="004D0F2F"/>
    <w:rsid w:val="004D179F"/>
    <w:rsid w:val="004D21CD"/>
    <w:rsid w:val="004D5349"/>
    <w:rsid w:val="004D5B31"/>
    <w:rsid w:val="004D5F14"/>
    <w:rsid w:val="004D606F"/>
    <w:rsid w:val="004E222C"/>
    <w:rsid w:val="004E2BF5"/>
    <w:rsid w:val="004E4BBE"/>
    <w:rsid w:val="004E5C94"/>
    <w:rsid w:val="004F1BCC"/>
    <w:rsid w:val="004F6715"/>
    <w:rsid w:val="00500294"/>
    <w:rsid w:val="00501AEF"/>
    <w:rsid w:val="00503C04"/>
    <w:rsid w:val="0051393A"/>
    <w:rsid w:val="00513F66"/>
    <w:rsid w:val="00514B1C"/>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459A0"/>
    <w:rsid w:val="00547E02"/>
    <w:rsid w:val="00550787"/>
    <w:rsid w:val="00550ABF"/>
    <w:rsid w:val="00551F69"/>
    <w:rsid w:val="00554B1D"/>
    <w:rsid w:val="0055630A"/>
    <w:rsid w:val="0056080A"/>
    <w:rsid w:val="0056257A"/>
    <w:rsid w:val="00562702"/>
    <w:rsid w:val="00562E7B"/>
    <w:rsid w:val="00563795"/>
    <w:rsid w:val="005646C3"/>
    <w:rsid w:val="005667D1"/>
    <w:rsid w:val="005739C6"/>
    <w:rsid w:val="0057471C"/>
    <w:rsid w:val="00574AAC"/>
    <w:rsid w:val="005818BC"/>
    <w:rsid w:val="00581FD9"/>
    <w:rsid w:val="00582C4B"/>
    <w:rsid w:val="00587481"/>
    <w:rsid w:val="00591832"/>
    <w:rsid w:val="00592632"/>
    <w:rsid w:val="00592841"/>
    <w:rsid w:val="005943C6"/>
    <w:rsid w:val="00596EEB"/>
    <w:rsid w:val="00597339"/>
    <w:rsid w:val="005A7EB9"/>
    <w:rsid w:val="005B0AB6"/>
    <w:rsid w:val="005B3E68"/>
    <w:rsid w:val="005B4DEC"/>
    <w:rsid w:val="005B5CD0"/>
    <w:rsid w:val="005B6FD0"/>
    <w:rsid w:val="005C3139"/>
    <w:rsid w:val="005C6148"/>
    <w:rsid w:val="005D05F7"/>
    <w:rsid w:val="005D161E"/>
    <w:rsid w:val="005D45ED"/>
    <w:rsid w:val="005D4FBB"/>
    <w:rsid w:val="005D682F"/>
    <w:rsid w:val="005E3592"/>
    <w:rsid w:val="005E46D2"/>
    <w:rsid w:val="005E74A9"/>
    <w:rsid w:val="005F60CA"/>
    <w:rsid w:val="005F64F0"/>
    <w:rsid w:val="00602616"/>
    <w:rsid w:val="006044D5"/>
    <w:rsid w:val="006051C4"/>
    <w:rsid w:val="0060750F"/>
    <w:rsid w:val="00614396"/>
    <w:rsid w:val="006201A2"/>
    <w:rsid w:val="006208C2"/>
    <w:rsid w:val="00621CAF"/>
    <w:rsid w:val="00622FDC"/>
    <w:rsid w:val="006238E7"/>
    <w:rsid w:val="00625020"/>
    <w:rsid w:val="006304C2"/>
    <w:rsid w:val="00632704"/>
    <w:rsid w:val="00635DEE"/>
    <w:rsid w:val="006368C5"/>
    <w:rsid w:val="00642493"/>
    <w:rsid w:val="00642E05"/>
    <w:rsid w:val="00642F26"/>
    <w:rsid w:val="0064360F"/>
    <w:rsid w:val="00643EFA"/>
    <w:rsid w:val="00645850"/>
    <w:rsid w:val="00650A32"/>
    <w:rsid w:val="006513D1"/>
    <w:rsid w:val="00651C2B"/>
    <w:rsid w:val="006521C1"/>
    <w:rsid w:val="00652553"/>
    <w:rsid w:val="0065274C"/>
    <w:rsid w:val="006562E0"/>
    <w:rsid w:val="00657051"/>
    <w:rsid w:val="00661374"/>
    <w:rsid w:val="00662C23"/>
    <w:rsid w:val="0066491F"/>
    <w:rsid w:val="00666A91"/>
    <w:rsid w:val="006704EE"/>
    <w:rsid w:val="0067053A"/>
    <w:rsid w:val="006712FA"/>
    <w:rsid w:val="006725BB"/>
    <w:rsid w:val="00676931"/>
    <w:rsid w:val="0068083D"/>
    <w:rsid w:val="006811A3"/>
    <w:rsid w:val="006822FA"/>
    <w:rsid w:val="006854F3"/>
    <w:rsid w:val="00686D14"/>
    <w:rsid w:val="00687ED7"/>
    <w:rsid w:val="00693B4C"/>
    <w:rsid w:val="0069453E"/>
    <w:rsid w:val="006B14F0"/>
    <w:rsid w:val="006B3473"/>
    <w:rsid w:val="006B61C1"/>
    <w:rsid w:val="006C055A"/>
    <w:rsid w:val="006C144C"/>
    <w:rsid w:val="006C1669"/>
    <w:rsid w:val="006C1863"/>
    <w:rsid w:val="006C797F"/>
    <w:rsid w:val="006D76F8"/>
    <w:rsid w:val="006E094F"/>
    <w:rsid w:val="006E0F4E"/>
    <w:rsid w:val="006E278D"/>
    <w:rsid w:val="006E354E"/>
    <w:rsid w:val="006E6B42"/>
    <w:rsid w:val="006E713C"/>
    <w:rsid w:val="006F0345"/>
    <w:rsid w:val="006F0469"/>
    <w:rsid w:val="006F5C2E"/>
    <w:rsid w:val="006F60D1"/>
    <w:rsid w:val="006F616A"/>
    <w:rsid w:val="006F7CED"/>
    <w:rsid w:val="0070207C"/>
    <w:rsid w:val="0070212A"/>
    <w:rsid w:val="007023CA"/>
    <w:rsid w:val="00703409"/>
    <w:rsid w:val="007040B6"/>
    <w:rsid w:val="00705076"/>
    <w:rsid w:val="00706DD2"/>
    <w:rsid w:val="00707B58"/>
    <w:rsid w:val="00711147"/>
    <w:rsid w:val="00711FB3"/>
    <w:rsid w:val="00713290"/>
    <w:rsid w:val="0071668C"/>
    <w:rsid w:val="007179BC"/>
    <w:rsid w:val="0072377C"/>
    <w:rsid w:val="0072543E"/>
    <w:rsid w:val="007254A0"/>
    <w:rsid w:val="007277E3"/>
    <w:rsid w:val="0073126D"/>
    <w:rsid w:val="00731A17"/>
    <w:rsid w:val="00732C29"/>
    <w:rsid w:val="00732D76"/>
    <w:rsid w:val="00734458"/>
    <w:rsid w:val="00735A38"/>
    <w:rsid w:val="007370F5"/>
    <w:rsid w:val="007419CF"/>
    <w:rsid w:val="00742A7A"/>
    <w:rsid w:val="0074487E"/>
    <w:rsid w:val="00746273"/>
    <w:rsid w:val="00746CAE"/>
    <w:rsid w:val="007473D3"/>
    <w:rsid w:val="00747EBD"/>
    <w:rsid w:val="0075029E"/>
    <w:rsid w:val="007517A6"/>
    <w:rsid w:val="00751DFF"/>
    <w:rsid w:val="0075237B"/>
    <w:rsid w:val="00754E65"/>
    <w:rsid w:val="00755532"/>
    <w:rsid w:val="00756062"/>
    <w:rsid w:val="00760BEF"/>
    <w:rsid w:val="0076326D"/>
    <w:rsid w:val="00763A45"/>
    <w:rsid w:val="00771F4F"/>
    <w:rsid w:val="007721BF"/>
    <w:rsid w:val="007732EE"/>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0F9F"/>
    <w:rsid w:val="007D06C7"/>
    <w:rsid w:val="007D6F53"/>
    <w:rsid w:val="007E0460"/>
    <w:rsid w:val="007E3459"/>
    <w:rsid w:val="007F0876"/>
    <w:rsid w:val="007F34B1"/>
    <w:rsid w:val="007F6C97"/>
    <w:rsid w:val="00801778"/>
    <w:rsid w:val="00807940"/>
    <w:rsid w:val="00810972"/>
    <w:rsid w:val="00814704"/>
    <w:rsid w:val="00814BE6"/>
    <w:rsid w:val="00824CE1"/>
    <w:rsid w:val="008256D9"/>
    <w:rsid w:val="008270AB"/>
    <w:rsid w:val="00827FD3"/>
    <w:rsid w:val="00832D99"/>
    <w:rsid w:val="00833373"/>
    <w:rsid w:val="00834F3F"/>
    <w:rsid w:val="008355AF"/>
    <w:rsid w:val="00835B0B"/>
    <w:rsid w:val="00836EDF"/>
    <w:rsid w:val="00840B34"/>
    <w:rsid w:val="00840F59"/>
    <w:rsid w:val="00841B44"/>
    <w:rsid w:val="00843302"/>
    <w:rsid w:val="00843E1D"/>
    <w:rsid w:val="008441CC"/>
    <w:rsid w:val="00844DF7"/>
    <w:rsid w:val="008458C8"/>
    <w:rsid w:val="0084639C"/>
    <w:rsid w:val="00851AE1"/>
    <w:rsid w:val="0085281F"/>
    <w:rsid w:val="00853B4E"/>
    <w:rsid w:val="008577F6"/>
    <w:rsid w:val="00857D8A"/>
    <w:rsid w:val="00863501"/>
    <w:rsid w:val="00865145"/>
    <w:rsid w:val="00865D15"/>
    <w:rsid w:val="00870017"/>
    <w:rsid w:val="00876211"/>
    <w:rsid w:val="00876C7B"/>
    <w:rsid w:val="008822E5"/>
    <w:rsid w:val="00882473"/>
    <w:rsid w:val="00883940"/>
    <w:rsid w:val="00883CC4"/>
    <w:rsid w:val="008849F4"/>
    <w:rsid w:val="0088520A"/>
    <w:rsid w:val="00886881"/>
    <w:rsid w:val="00895229"/>
    <w:rsid w:val="0089690A"/>
    <w:rsid w:val="008A2609"/>
    <w:rsid w:val="008A3A66"/>
    <w:rsid w:val="008B0338"/>
    <w:rsid w:val="008B0AD1"/>
    <w:rsid w:val="008B0B89"/>
    <w:rsid w:val="008B6C1A"/>
    <w:rsid w:val="008B6E4E"/>
    <w:rsid w:val="008C2769"/>
    <w:rsid w:val="008C49A1"/>
    <w:rsid w:val="008D07FD"/>
    <w:rsid w:val="008D2891"/>
    <w:rsid w:val="008D331E"/>
    <w:rsid w:val="008D57E8"/>
    <w:rsid w:val="008D6E0C"/>
    <w:rsid w:val="008E3CDA"/>
    <w:rsid w:val="008E7456"/>
    <w:rsid w:val="008F0984"/>
    <w:rsid w:val="008F1D13"/>
    <w:rsid w:val="008F23FC"/>
    <w:rsid w:val="008F292C"/>
    <w:rsid w:val="00902692"/>
    <w:rsid w:val="0090347A"/>
    <w:rsid w:val="009042F1"/>
    <w:rsid w:val="00904EB5"/>
    <w:rsid w:val="009052E4"/>
    <w:rsid w:val="009054F9"/>
    <w:rsid w:val="00905E00"/>
    <w:rsid w:val="0090753C"/>
    <w:rsid w:val="00911410"/>
    <w:rsid w:val="009114C9"/>
    <w:rsid w:val="00912C48"/>
    <w:rsid w:val="00913373"/>
    <w:rsid w:val="00915303"/>
    <w:rsid w:val="009235F8"/>
    <w:rsid w:val="0092680C"/>
    <w:rsid w:val="009344CF"/>
    <w:rsid w:val="00935A5B"/>
    <w:rsid w:val="0093619F"/>
    <w:rsid w:val="009427E5"/>
    <w:rsid w:val="009454B7"/>
    <w:rsid w:val="00955032"/>
    <w:rsid w:val="009568A7"/>
    <w:rsid w:val="009613D8"/>
    <w:rsid w:val="00961618"/>
    <w:rsid w:val="009701B5"/>
    <w:rsid w:val="00971F77"/>
    <w:rsid w:val="00972D66"/>
    <w:rsid w:val="0097384E"/>
    <w:rsid w:val="00974275"/>
    <w:rsid w:val="009746FC"/>
    <w:rsid w:val="0098029F"/>
    <w:rsid w:val="009804FC"/>
    <w:rsid w:val="0098474B"/>
    <w:rsid w:val="00984F56"/>
    <w:rsid w:val="00986522"/>
    <w:rsid w:val="009919D4"/>
    <w:rsid w:val="0099425F"/>
    <w:rsid w:val="00995CBA"/>
    <w:rsid w:val="0099678C"/>
    <w:rsid w:val="00997689"/>
    <w:rsid w:val="009A01B9"/>
    <w:rsid w:val="009A252B"/>
    <w:rsid w:val="009A6099"/>
    <w:rsid w:val="009A6FFD"/>
    <w:rsid w:val="009B0C96"/>
    <w:rsid w:val="009B272B"/>
    <w:rsid w:val="009B4457"/>
    <w:rsid w:val="009C1B51"/>
    <w:rsid w:val="009C2190"/>
    <w:rsid w:val="009C222B"/>
    <w:rsid w:val="009C4CEC"/>
    <w:rsid w:val="009C60F7"/>
    <w:rsid w:val="009C67A8"/>
    <w:rsid w:val="009C7C74"/>
    <w:rsid w:val="009D0B5C"/>
    <w:rsid w:val="009D1E20"/>
    <w:rsid w:val="009D201B"/>
    <w:rsid w:val="009D54AC"/>
    <w:rsid w:val="009D5D9C"/>
    <w:rsid w:val="009D7905"/>
    <w:rsid w:val="009E2171"/>
    <w:rsid w:val="009E29AC"/>
    <w:rsid w:val="009E363A"/>
    <w:rsid w:val="009E537F"/>
    <w:rsid w:val="009E5BCA"/>
    <w:rsid w:val="009F1B31"/>
    <w:rsid w:val="009F1E54"/>
    <w:rsid w:val="009F6AD9"/>
    <w:rsid w:val="00A02DA9"/>
    <w:rsid w:val="00A037AB"/>
    <w:rsid w:val="00A04CC5"/>
    <w:rsid w:val="00A06F53"/>
    <w:rsid w:val="00A12B05"/>
    <w:rsid w:val="00A15841"/>
    <w:rsid w:val="00A1779E"/>
    <w:rsid w:val="00A26A74"/>
    <w:rsid w:val="00A35A36"/>
    <w:rsid w:val="00A36436"/>
    <w:rsid w:val="00A36ED7"/>
    <w:rsid w:val="00A45E6C"/>
    <w:rsid w:val="00A513C6"/>
    <w:rsid w:val="00A5344E"/>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6A14"/>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E3A74"/>
    <w:rsid w:val="00AE456E"/>
    <w:rsid w:val="00AF3845"/>
    <w:rsid w:val="00AF47AE"/>
    <w:rsid w:val="00AF7575"/>
    <w:rsid w:val="00AF7BA9"/>
    <w:rsid w:val="00AF7CA8"/>
    <w:rsid w:val="00B0249E"/>
    <w:rsid w:val="00B043A7"/>
    <w:rsid w:val="00B11A9B"/>
    <w:rsid w:val="00B124A3"/>
    <w:rsid w:val="00B140B2"/>
    <w:rsid w:val="00B20BFC"/>
    <w:rsid w:val="00B225B2"/>
    <w:rsid w:val="00B27B4D"/>
    <w:rsid w:val="00B327F1"/>
    <w:rsid w:val="00B32ABB"/>
    <w:rsid w:val="00B33759"/>
    <w:rsid w:val="00B41FD3"/>
    <w:rsid w:val="00B426D3"/>
    <w:rsid w:val="00B431DE"/>
    <w:rsid w:val="00B451BB"/>
    <w:rsid w:val="00B452C0"/>
    <w:rsid w:val="00B54E42"/>
    <w:rsid w:val="00B56332"/>
    <w:rsid w:val="00B70D03"/>
    <w:rsid w:val="00B71F06"/>
    <w:rsid w:val="00B752F0"/>
    <w:rsid w:val="00B803E7"/>
    <w:rsid w:val="00B81B58"/>
    <w:rsid w:val="00B82098"/>
    <w:rsid w:val="00B82E14"/>
    <w:rsid w:val="00B94110"/>
    <w:rsid w:val="00B97F73"/>
    <w:rsid w:val="00BA0356"/>
    <w:rsid w:val="00BA18D2"/>
    <w:rsid w:val="00BA2D93"/>
    <w:rsid w:val="00BA4DDE"/>
    <w:rsid w:val="00BA68A9"/>
    <w:rsid w:val="00BA741D"/>
    <w:rsid w:val="00BB217C"/>
    <w:rsid w:val="00BB49D5"/>
    <w:rsid w:val="00BB6C6A"/>
    <w:rsid w:val="00BC3E90"/>
    <w:rsid w:val="00BC655F"/>
    <w:rsid w:val="00BD3717"/>
    <w:rsid w:val="00BD4A9C"/>
    <w:rsid w:val="00BE1E62"/>
    <w:rsid w:val="00BE3AB6"/>
    <w:rsid w:val="00BE5453"/>
    <w:rsid w:val="00BF5F3E"/>
    <w:rsid w:val="00BF7052"/>
    <w:rsid w:val="00C034B4"/>
    <w:rsid w:val="00C05FAB"/>
    <w:rsid w:val="00C1046C"/>
    <w:rsid w:val="00C1704D"/>
    <w:rsid w:val="00C173F8"/>
    <w:rsid w:val="00C20E5C"/>
    <w:rsid w:val="00C219C1"/>
    <w:rsid w:val="00C22430"/>
    <w:rsid w:val="00C25617"/>
    <w:rsid w:val="00C25D21"/>
    <w:rsid w:val="00C26499"/>
    <w:rsid w:val="00C26986"/>
    <w:rsid w:val="00C2702C"/>
    <w:rsid w:val="00C2765B"/>
    <w:rsid w:val="00C27D8C"/>
    <w:rsid w:val="00C3438E"/>
    <w:rsid w:val="00C35399"/>
    <w:rsid w:val="00C3546C"/>
    <w:rsid w:val="00C3555B"/>
    <w:rsid w:val="00C3674D"/>
    <w:rsid w:val="00C372A8"/>
    <w:rsid w:val="00C378BE"/>
    <w:rsid w:val="00C4752E"/>
    <w:rsid w:val="00C50D11"/>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94C1E"/>
    <w:rsid w:val="00CA0842"/>
    <w:rsid w:val="00CA1DE0"/>
    <w:rsid w:val="00CA2399"/>
    <w:rsid w:val="00CA348A"/>
    <w:rsid w:val="00CA352D"/>
    <w:rsid w:val="00CA366B"/>
    <w:rsid w:val="00CA65AB"/>
    <w:rsid w:val="00CA6658"/>
    <w:rsid w:val="00CA6F26"/>
    <w:rsid w:val="00CB186A"/>
    <w:rsid w:val="00CB2CE6"/>
    <w:rsid w:val="00CB35D9"/>
    <w:rsid w:val="00CB399B"/>
    <w:rsid w:val="00CC1F78"/>
    <w:rsid w:val="00CC7941"/>
    <w:rsid w:val="00CD1498"/>
    <w:rsid w:val="00CD159A"/>
    <w:rsid w:val="00CE0AE1"/>
    <w:rsid w:val="00CE0B88"/>
    <w:rsid w:val="00CF08BB"/>
    <w:rsid w:val="00CF4B38"/>
    <w:rsid w:val="00D030AD"/>
    <w:rsid w:val="00D07417"/>
    <w:rsid w:val="00D10386"/>
    <w:rsid w:val="00D15439"/>
    <w:rsid w:val="00D156FC"/>
    <w:rsid w:val="00D21982"/>
    <w:rsid w:val="00D231DB"/>
    <w:rsid w:val="00D2377F"/>
    <w:rsid w:val="00D249E8"/>
    <w:rsid w:val="00D26E56"/>
    <w:rsid w:val="00D30E68"/>
    <w:rsid w:val="00D31D9E"/>
    <w:rsid w:val="00D323A8"/>
    <w:rsid w:val="00D34538"/>
    <w:rsid w:val="00D4115E"/>
    <w:rsid w:val="00D47355"/>
    <w:rsid w:val="00D473FF"/>
    <w:rsid w:val="00D5069D"/>
    <w:rsid w:val="00D50C48"/>
    <w:rsid w:val="00D554AB"/>
    <w:rsid w:val="00D57397"/>
    <w:rsid w:val="00D61996"/>
    <w:rsid w:val="00D61E23"/>
    <w:rsid w:val="00D76935"/>
    <w:rsid w:val="00D76B50"/>
    <w:rsid w:val="00D76C76"/>
    <w:rsid w:val="00D8674A"/>
    <w:rsid w:val="00D9415C"/>
    <w:rsid w:val="00D94590"/>
    <w:rsid w:val="00D97D62"/>
    <w:rsid w:val="00DA24D2"/>
    <w:rsid w:val="00DA469E"/>
    <w:rsid w:val="00DA5D0F"/>
    <w:rsid w:val="00DB03F7"/>
    <w:rsid w:val="00DB2D55"/>
    <w:rsid w:val="00DB4021"/>
    <w:rsid w:val="00DB7675"/>
    <w:rsid w:val="00DC36B9"/>
    <w:rsid w:val="00DC432E"/>
    <w:rsid w:val="00DC54BA"/>
    <w:rsid w:val="00DC6BE7"/>
    <w:rsid w:val="00DD1D5E"/>
    <w:rsid w:val="00DD1F80"/>
    <w:rsid w:val="00DD2BB2"/>
    <w:rsid w:val="00DD2E12"/>
    <w:rsid w:val="00DD468E"/>
    <w:rsid w:val="00DD5C42"/>
    <w:rsid w:val="00DD6DEB"/>
    <w:rsid w:val="00DE0955"/>
    <w:rsid w:val="00DE1D8D"/>
    <w:rsid w:val="00DE49FA"/>
    <w:rsid w:val="00DF4E3D"/>
    <w:rsid w:val="00DF4E9E"/>
    <w:rsid w:val="00DF62F4"/>
    <w:rsid w:val="00E0021E"/>
    <w:rsid w:val="00E030D4"/>
    <w:rsid w:val="00E0430F"/>
    <w:rsid w:val="00E04A81"/>
    <w:rsid w:val="00E05E7B"/>
    <w:rsid w:val="00E1001E"/>
    <w:rsid w:val="00E136E5"/>
    <w:rsid w:val="00E1409F"/>
    <w:rsid w:val="00E16D31"/>
    <w:rsid w:val="00E21FBE"/>
    <w:rsid w:val="00E22965"/>
    <w:rsid w:val="00E2351D"/>
    <w:rsid w:val="00E2506F"/>
    <w:rsid w:val="00E25DCD"/>
    <w:rsid w:val="00E269E1"/>
    <w:rsid w:val="00E31EED"/>
    <w:rsid w:val="00E32917"/>
    <w:rsid w:val="00E337D0"/>
    <w:rsid w:val="00E372E5"/>
    <w:rsid w:val="00E42F90"/>
    <w:rsid w:val="00E45F13"/>
    <w:rsid w:val="00E479C7"/>
    <w:rsid w:val="00E50B75"/>
    <w:rsid w:val="00E510BC"/>
    <w:rsid w:val="00E51616"/>
    <w:rsid w:val="00E52BA4"/>
    <w:rsid w:val="00E530CC"/>
    <w:rsid w:val="00E61256"/>
    <w:rsid w:val="00E62D12"/>
    <w:rsid w:val="00E65BF8"/>
    <w:rsid w:val="00E66B3B"/>
    <w:rsid w:val="00E73CB2"/>
    <w:rsid w:val="00E746D7"/>
    <w:rsid w:val="00E75E18"/>
    <w:rsid w:val="00E77123"/>
    <w:rsid w:val="00E839BA"/>
    <w:rsid w:val="00E8428A"/>
    <w:rsid w:val="00E84C5B"/>
    <w:rsid w:val="00E84E96"/>
    <w:rsid w:val="00E85B74"/>
    <w:rsid w:val="00E90D03"/>
    <w:rsid w:val="00E949A8"/>
    <w:rsid w:val="00E96364"/>
    <w:rsid w:val="00EA0F01"/>
    <w:rsid w:val="00EA5080"/>
    <w:rsid w:val="00EA59B8"/>
    <w:rsid w:val="00EA5A01"/>
    <w:rsid w:val="00EC1D69"/>
    <w:rsid w:val="00EC2DF9"/>
    <w:rsid w:val="00EC6A5B"/>
    <w:rsid w:val="00EC6EC9"/>
    <w:rsid w:val="00ED0A6F"/>
    <w:rsid w:val="00ED240B"/>
    <w:rsid w:val="00ED423C"/>
    <w:rsid w:val="00ED60E9"/>
    <w:rsid w:val="00EE0BC4"/>
    <w:rsid w:val="00EE6E36"/>
    <w:rsid w:val="00EF1AEA"/>
    <w:rsid w:val="00EF5E4D"/>
    <w:rsid w:val="00F0041B"/>
    <w:rsid w:val="00F016BC"/>
    <w:rsid w:val="00F01EA9"/>
    <w:rsid w:val="00F03F53"/>
    <w:rsid w:val="00F052A0"/>
    <w:rsid w:val="00F0660B"/>
    <w:rsid w:val="00F07D9D"/>
    <w:rsid w:val="00F11F49"/>
    <w:rsid w:val="00F123AE"/>
    <w:rsid w:val="00F13F0C"/>
    <w:rsid w:val="00F1552A"/>
    <w:rsid w:val="00F16C91"/>
    <w:rsid w:val="00F25768"/>
    <w:rsid w:val="00F32B93"/>
    <w:rsid w:val="00F34538"/>
    <w:rsid w:val="00F37F4F"/>
    <w:rsid w:val="00F417C0"/>
    <w:rsid w:val="00F43784"/>
    <w:rsid w:val="00F44F26"/>
    <w:rsid w:val="00F4725C"/>
    <w:rsid w:val="00F51185"/>
    <w:rsid w:val="00F52CAB"/>
    <w:rsid w:val="00F54596"/>
    <w:rsid w:val="00F5551A"/>
    <w:rsid w:val="00F60160"/>
    <w:rsid w:val="00F626F3"/>
    <w:rsid w:val="00F644F2"/>
    <w:rsid w:val="00F6654E"/>
    <w:rsid w:val="00F6698B"/>
    <w:rsid w:val="00F70129"/>
    <w:rsid w:val="00F7054A"/>
    <w:rsid w:val="00F70900"/>
    <w:rsid w:val="00F7174D"/>
    <w:rsid w:val="00F72593"/>
    <w:rsid w:val="00F72EF4"/>
    <w:rsid w:val="00F73331"/>
    <w:rsid w:val="00F770E8"/>
    <w:rsid w:val="00F800D9"/>
    <w:rsid w:val="00F87174"/>
    <w:rsid w:val="00F91D37"/>
    <w:rsid w:val="00F921E8"/>
    <w:rsid w:val="00F92E65"/>
    <w:rsid w:val="00F934CB"/>
    <w:rsid w:val="00F9610D"/>
    <w:rsid w:val="00F978FE"/>
    <w:rsid w:val="00F9794B"/>
    <w:rsid w:val="00FA0916"/>
    <w:rsid w:val="00FA4A45"/>
    <w:rsid w:val="00FA710C"/>
    <w:rsid w:val="00FB239D"/>
    <w:rsid w:val="00FB3E50"/>
    <w:rsid w:val="00FB5828"/>
    <w:rsid w:val="00FB657F"/>
    <w:rsid w:val="00FB7DDF"/>
    <w:rsid w:val="00FC5023"/>
    <w:rsid w:val="00FC570F"/>
    <w:rsid w:val="00FD161A"/>
    <w:rsid w:val="00FD2271"/>
    <w:rsid w:val="00FE70E5"/>
    <w:rsid w:val="00FE7D09"/>
    <w:rsid w:val="00FF02BD"/>
    <w:rsid w:val="00FF0895"/>
    <w:rsid w:val="00FF3430"/>
    <w:rsid w:val="00FF3B4D"/>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737A7"/>
  <w15:docId w15:val="{6772A7C9-E4D1-4DC0-8FFA-FD17F87A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79" w:unhideWhenUsed="1"/>
    <w:lsdException w:name="footer" w:semiHidden="1" w:uiPriority="8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abellentext">
    <w:name w:val="Tabellentext"/>
    <w:basedOn w:val="Standard"/>
    <w:qFormat/>
    <w:rsid w:val="004E4BBE"/>
    <w:pPr>
      <w:keepNext/>
      <w:spacing w:before="40" w:after="40" w:line="240" w:lineRule="auto"/>
    </w:pPr>
    <w:rPr>
      <w:rFonts w:ascii="Arial" w:eastAsia="Times New Roman" w:hAnsi="Arial" w:cs="Times New Roman"/>
      <w:bCs w:val="0"/>
      <w:spacing w:val="0"/>
      <w:sz w:val="18"/>
      <w:szCs w:val="24"/>
      <w:lang w:eastAsia="de-DE"/>
    </w:rPr>
  </w:style>
  <w:style w:type="paragraph" w:customStyle="1" w:styleId="Quelle">
    <w:name w:val="Quelle"/>
    <w:basedOn w:val="Tabellentext"/>
    <w:next w:val="Textkrper"/>
    <w:rsid w:val="004E4BBE"/>
    <w:pPr>
      <w:keepNext w:val="0"/>
      <w:widowControl w:val="0"/>
      <w:tabs>
        <w:tab w:val="left" w:pos="680"/>
      </w:tabs>
      <w:spacing w:before="180" w:after="360"/>
      <w:ind w:left="680" w:hanging="680"/>
    </w:pPr>
    <w:rPr>
      <w:sz w:val="16"/>
    </w:rPr>
  </w:style>
  <w:style w:type="table" w:customStyle="1" w:styleId="Ecoplankombi">
    <w:name w:val="Ecoplan kombi"/>
    <w:basedOn w:val="NormaleTabelle"/>
    <w:uiPriority w:val="99"/>
    <w:rsid w:val="004E4BBE"/>
    <w:pPr>
      <w:spacing w:after="0" w:line="240" w:lineRule="auto"/>
    </w:pPr>
    <w:rPr>
      <w:rFonts w:ascii="Arial" w:eastAsia="Times New Roman" w:hAnsi="Arial" w:cs="Times New Roman"/>
      <w:sz w:val="18"/>
      <w:szCs w:val="20"/>
      <w:lang w:eastAsia="de-CH"/>
    </w:rPr>
    <w:tblPr>
      <w:tblStyleRowBandSize w:val="1"/>
      <w:tblBorders>
        <w:top w:val="single" w:sz="12" w:space="0" w:color="7D9AA8" w:themeColor="accent1" w:themeTint="99"/>
        <w:bottom w:val="single" w:sz="12" w:space="0" w:color="7D9AA8" w:themeColor="accent1" w:themeTint="99"/>
      </w:tblBorders>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A8BBC5" w:themeFill="accent1" w:themeFillTint="66"/>
      </w:tcPr>
    </w:tblStylePr>
    <w:tblStylePr w:type="lastRow">
      <w:tblPr/>
      <w:tcPr>
        <w:tcBorders>
          <w:bottom w:val="single" w:sz="12" w:space="0" w:color="7D9AA8" w:themeColor="accent1" w:themeTint="99"/>
        </w:tcBorders>
      </w:tcPr>
    </w:tblStylePr>
    <w:tblStylePr w:type="band1Horz">
      <w:tblPr/>
      <w:tcPr>
        <w:tcBorders>
          <w:bottom w:val="single" w:sz="8" w:space="0" w:color="7D9AA8" w:themeColor="accent1" w:themeTint="99"/>
          <w:insideH w:val="nil"/>
        </w:tcBorders>
      </w:tcPr>
    </w:tblStylePr>
    <w:tblStylePr w:type="band2Horz">
      <w:tblPr/>
      <w:tcPr>
        <w:tcBorders>
          <w:bottom w:val="single" w:sz="8" w:space="0" w:color="7D9AA8" w:themeColor="accent1" w:themeTint="99"/>
        </w:tcBorders>
      </w:tcPr>
    </w:tblStylePr>
  </w:style>
  <w:style w:type="character" w:styleId="Kommentarzeichen">
    <w:name w:val="annotation reference"/>
    <w:basedOn w:val="Absatz-Standardschriftart"/>
    <w:semiHidden/>
    <w:unhideWhenUsed/>
    <w:rsid w:val="004E4BBE"/>
    <w:rPr>
      <w:sz w:val="16"/>
      <w:szCs w:val="16"/>
    </w:rPr>
  </w:style>
  <w:style w:type="paragraph" w:styleId="Kommentartext">
    <w:name w:val="annotation text"/>
    <w:basedOn w:val="Standard"/>
    <w:link w:val="KommentartextZchn"/>
    <w:unhideWhenUsed/>
    <w:rsid w:val="004E4BBE"/>
    <w:pPr>
      <w:spacing w:line="240" w:lineRule="auto"/>
    </w:pPr>
    <w:rPr>
      <w:rFonts w:ascii="Arial" w:eastAsia="Times New Roman" w:hAnsi="Arial" w:cs="Times New Roman"/>
      <w:bCs w:val="0"/>
      <w:spacing w:val="0"/>
      <w:sz w:val="20"/>
      <w:szCs w:val="20"/>
      <w:lang w:eastAsia="de-DE"/>
    </w:rPr>
  </w:style>
  <w:style w:type="character" w:customStyle="1" w:styleId="KommentartextZchn">
    <w:name w:val="Kommentartext Zchn"/>
    <w:basedOn w:val="Absatz-Standardschriftart"/>
    <w:link w:val="Kommentartext"/>
    <w:rsid w:val="004E4BBE"/>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270AB"/>
    <w:rPr>
      <w:rFonts w:asciiTheme="minorHAnsi" w:eastAsiaTheme="minorHAnsi" w:hAnsiTheme="minorHAnsi" w:cs="System"/>
      <w:b/>
      <w:bCs/>
      <w:spacing w:val="2"/>
      <w:lang w:eastAsia="en-US"/>
    </w:rPr>
  </w:style>
  <w:style w:type="character" w:customStyle="1" w:styleId="KommentarthemaZchn">
    <w:name w:val="Kommentarthema Zchn"/>
    <w:basedOn w:val="KommentartextZchn"/>
    <w:link w:val="Kommentarthema"/>
    <w:uiPriority w:val="99"/>
    <w:semiHidden/>
    <w:rsid w:val="008270AB"/>
    <w:rPr>
      <w:rFonts w:ascii="Arial" w:eastAsia="Times New Roman" w:hAnsi="Arial" w:cs="System"/>
      <w:b/>
      <w:bCs/>
      <w:spacing w:val="2"/>
      <w:sz w:val="20"/>
      <w:szCs w:val="20"/>
      <w:lang w:eastAsia="de-DE"/>
    </w:rPr>
  </w:style>
  <w:style w:type="paragraph" w:customStyle="1" w:styleId="Zwischentitel">
    <w:name w:val="Zwischentitel"/>
    <w:basedOn w:val="berschrift3"/>
    <w:next w:val="Textkrper"/>
    <w:qFormat/>
    <w:rsid w:val="001E0DF4"/>
    <w:pPr>
      <w:keepLines w:val="0"/>
      <w:spacing w:before="480" w:after="120" w:line="240" w:lineRule="auto"/>
      <w:outlineLvl w:val="9"/>
    </w:pPr>
    <w:rPr>
      <w:rFonts w:ascii="Arial" w:eastAsia="Times New Roman" w:hAnsi="Arial" w:cs="Arial"/>
      <w:iCs/>
      <w:spacing w:val="0"/>
      <w:kern w:val="32"/>
      <w:sz w:val="20"/>
      <w:szCs w:val="26"/>
      <w:lang w:eastAsia="de-DE"/>
    </w:rPr>
  </w:style>
  <w:style w:type="paragraph" w:styleId="berarbeitung">
    <w:name w:val="Revision"/>
    <w:hidden/>
    <w:uiPriority w:val="99"/>
    <w:semiHidden/>
    <w:rsid w:val="00F4725C"/>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be.ch/de/start/themen/Finanzen/FinanzundLastenausgleich/lastenausgleichssyteme.html" TargetMode="Externa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4B8161A7E41DB9B7169160F38AF72"/>
        <w:category>
          <w:name w:val="Allgemein"/>
          <w:gallery w:val="placeholder"/>
        </w:category>
        <w:types>
          <w:type w:val="bbPlcHdr"/>
        </w:types>
        <w:behaviors>
          <w:behavior w:val="content"/>
        </w:behaviors>
        <w:guid w:val="{C6A44693-D9B6-4151-A510-0CE908E835F5}"/>
      </w:docPartPr>
      <w:docPartBody>
        <w:p w:rsidR="008B0338" w:rsidRDefault="006850D7">
          <w:pPr>
            <w:pStyle w:val="74F4B8161A7E41DB9B7169160F38AF72"/>
          </w:pPr>
          <w:r>
            <w:rPr>
              <w:rStyle w:val="Platzhaltertext"/>
            </w:rPr>
            <w:t>Klassifizierung auswählen</w:t>
          </w:r>
        </w:p>
      </w:docPartBody>
    </w:docPart>
    <w:docPart>
      <w:docPartPr>
        <w:name w:val="53777B18E75E4B0AAB2D678C1FCD9249"/>
        <w:category>
          <w:name w:val="Allgemein"/>
          <w:gallery w:val="placeholder"/>
        </w:category>
        <w:types>
          <w:type w:val="bbPlcHdr"/>
        </w:types>
        <w:behaviors>
          <w:behavior w:val="content"/>
        </w:behaviors>
        <w:guid w:val="{ACE22601-6432-4B9D-8339-1FCDDCA9EEAE}"/>
      </w:docPartPr>
      <w:docPartBody>
        <w:p w:rsidR="008B0338" w:rsidRDefault="006850D7">
          <w:pPr>
            <w:pStyle w:val="53777B18E75E4B0AAB2D678C1FCD9249"/>
          </w:pPr>
          <w:r w:rsidRPr="00E372E5">
            <w:rPr>
              <w:rStyle w:val="Platzhaltertext"/>
            </w:rPr>
            <w:t xml:space="preserve">Datum </w:t>
          </w:r>
          <w:r>
            <w:rPr>
              <w:rStyle w:val="Platzhaltertext"/>
            </w:rPr>
            <w:t>auswählen</w:t>
          </w:r>
          <w:r w:rsidRPr="00E372E5">
            <w:rPr>
              <w:rStyle w:val="Platzhaltertext"/>
            </w:rPr>
            <w:t>.</w:t>
          </w:r>
        </w:p>
      </w:docPartBody>
    </w:docPart>
    <w:docPart>
      <w:docPartPr>
        <w:name w:val="45108E1F063146478E6A6A52592A46A0"/>
        <w:category>
          <w:name w:val="Allgemein"/>
          <w:gallery w:val="placeholder"/>
        </w:category>
        <w:types>
          <w:type w:val="bbPlcHdr"/>
        </w:types>
        <w:behaviors>
          <w:behavior w:val="content"/>
        </w:behaviors>
        <w:guid w:val="{8CCAB49E-D3DF-4746-B902-BAF40260F84C}"/>
      </w:docPartPr>
      <w:docPartBody>
        <w:p w:rsidR="008B0338" w:rsidRDefault="006850D7" w:rsidP="008B0B89">
          <w:pPr>
            <w:pStyle w:val="45108E1F063146478E6A6A52592A46A0"/>
          </w:pPr>
          <w:r>
            <w:rPr>
              <w:rStyle w:val="Platzhaltertext"/>
            </w:rPr>
            <w:t>Klassifizierung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89"/>
    <w:rsid w:val="00091348"/>
    <w:rsid w:val="000D0A57"/>
    <w:rsid w:val="000F49AB"/>
    <w:rsid w:val="00144C8A"/>
    <w:rsid w:val="00164B9D"/>
    <w:rsid w:val="001A7D8B"/>
    <w:rsid w:val="001E02A1"/>
    <w:rsid w:val="00307F40"/>
    <w:rsid w:val="003175C5"/>
    <w:rsid w:val="0036600E"/>
    <w:rsid w:val="00395A13"/>
    <w:rsid w:val="003A7A0D"/>
    <w:rsid w:val="00494146"/>
    <w:rsid w:val="0051393A"/>
    <w:rsid w:val="005459A0"/>
    <w:rsid w:val="006850D7"/>
    <w:rsid w:val="006B14F0"/>
    <w:rsid w:val="006E094F"/>
    <w:rsid w:val="006F616A"/>
    <w:rsid w:val="00707B58"/>
    <w:rsid w:val="008355AF"/>
    <w:rsid w:val="00855B99"/>
    <w:rsid w:val="00876C7B"/>
    <w:rsid w:val="008B0338"/>
    <w:rsid w:val="008B0B89"/>
    <w:rsid w:val="009235F8"/>
    <w:rsid w:val="009B4457"/>
    <w:rsid w:val="009E29AC"/>
    <w:rsid w:val="00A87BE1"/>
    <w:rsid w:val="00BE5453"/>
    <w:rsid w:val="00C94C1E"/>
    <w:rsid w:val="00D26E56"/>
    <w:rsid w:val="00D31325"/>
    <w:rsid w:val="00D77E0B"/>
    <w:rsid w:val="00E32E03"/>
    <w:rsid w:val="00F43784"/>
    <w:rsid w:val="00F770E8"/>
    <w:rsid w:val="00F802BC"/>
    <w:rsid w:val="00FC57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0B89"/>
  </w:style>
  <w:style w:type="paragraph" w:customStyle="1" w:styleId="74F4B8161A7E41DB9B7169160F38AF72">
    <w:name w:val="74F4B8161A7E41DB9B7169160F38AF72"/>
  </w:style>
  <w:style w:type="paragraph" w:customStyle="1" w:styleId="53777B18E75E4B0AAB2D678C1FCD9249">
    <w:name w:val="53777B18E75E4B0AAB2D678C1FCD9249"/>
  </w:style>
  <w:style w:type="paragraph" w:customStyle="1" w:styleId="45108E1F063146478E6A6A52592A46A0">
    <w:name w:val="45108E1F063146478E6A6A52592A46A0"/>
    <w:rsid w:val="008B0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C694DF0-677E-482A-B346-5057FB31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6312</Words>
  <Characters>39771</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Schneeberger Katrin</dc:creator>
  <dc:description>numéro de document</dc:description>
  <cp:lastModifiedBy>Dänzer Beat, FIN-FV</cp:lastModifiedBy>
  <cp:revision>75</cp:revision>
  <cp:lastPrinted>2019-09-11T20:00:00Z</cp:lastPrinted>
  <dcterms:created xsi:type="dcterms:W3CDTF">2025-02-19T13:00:00Z</dcterms:created>
  <dcterms:modified xsi:type="dcterms:W3CDTF">2025-04-10T15:22:00Z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2024-11-28T14:51:32Z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cb7e3f14-0cb1-4f2a-af10-ffe679c0f0dc</vt:lpwstr>
  </property>
  <property fmtid="{D5CDD505-2E9C-101B-9397-08002B2CF9AE}" pid="8" name="MSIP_Label_74fdd986-87d9-48c6-acda-407b1ab5fef0_ContentBits">
    <vt:lpwstr>0</vt:lpwstr>
  </property>
</Properties>
</file>